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E9B" w:rsidRDefault="00880E9B">
      <w:pPr>
        <w:tabs>
          <w:tab w:val="right" w:pos="567"/>
          <w:tab w:val="right" w:pos="8505"/>
        </w:tabs>
        <w:ind w:left="4" w:hanging="4"/>
        <w:jc w:val="center"/>
        <w:rPr>
          <w:rFonts w:ascii="Arial" w:eastAsia="Arial" w:hAnsi="Arial" w:cs="Arial"/>
          <w:b/>
          <w:color w:val="000000"/>
          <w:sz w:val="52"/>
          <w:szCs w:val="52"/>
        </w:rPr>
      </w:pPr>
    </w:p>
    <w:p w:rsidR="00880E9B" w:rsidRDefault="00880E9B">
      <w:pPr>
        <w:tabs>
          <w:tab w:val="right" w:pos="567"/>
          <w:tab w:val="right" w:pos="8505"/>
        </w:tabs>
        <w:ind w:left="4" w:hanging="4"/>
        <w:jc w:val="center"/>
        <w:rPr>
          <w:rFonts w:ascii="Arial" w:eastAsia="Arial" w:hAnsi="Arial" w:cs="Arial"/>
          <w:b/>
          <w:color w:val="000000"/>
          <w:sz w:val="52"/>
          <w:szCs w:val="52"/>
        </w:rPr>
      </w:pPr>
    </w:p>
    <w:p w:rsidR="00880E9B" w:rsidRDefault="00A2431D">
      <w:pPr>
        <w:pStyle w:val="Sottotitolo"/>
        <w:pBdr>
          <w:top w:val="nil"/>
          <w:left w:val="nil"/>
          <w:bottom w:val="nil"/>
          <w:right w:val="nil"/>
          <w:between w:val="nil"/>
        </w:pBdr>
        <w:tabs>
          <w:tab w:val="right" w:pos="567"/>
          <w:tab w:val="right" w:pos="8505"/>
        </w:tabs>
        <w:ind w:left="4" w:hanging="4"/>
        <w:jc w:val="center"/>
        <w:rPr>
          <w:b/>
          <w:color w:val="20124D"/>
        </w:rPr>
      </w:pPr>
      <w:bookmarkStart w:id="0" w:name="_jyvpnyimey75" w:colFirst="0" w:colLast="0"/>
      <w:bookmarkEnd w:id="0"/>
      <w:r>
        <w:rPr>
          <w:b/>
          <w:color w:val="20124D"/>
        </w:rPr>
        <w:t>Servizi UAS (Droni):</w:t>
      </w:r>
    </w:p>
    <w:p w:rsidR="00880E9B" w:rsidRDefault="00A2431D">
      <w:pPr>
        <w:pStyle w:val="Sottotitolo"/>
        <w:tabs>
          <w:tab w:val="right" w:pos="567"/>
          <w:tab w:val="right" w:pos="8505"/>
        </w:tabs>
        <w:ind w:left="4"/>
        <w:jc w:val="center"/>
        <w:rPr>
          <w:b/>
          <w:color w:val="20124D"/>
        </w:rPr>
      </w:pPr>
      <w:bookmarkStart w:id="1" w:name="_5sk356t42dq3" w:colFirst="0" w:colLast="0"/>
      <w:bookmarkEnd w:id="1"/>
      <w:r>
        <w:rPr>
          <w:b/>
          <w:color w:val="20124D"/>
        </w:rPr>
        <w:t>Manuale per l’utente Training Coordinator/Delegato di una RE</w:t>
      </w:r>
    </w:p>
    <w:p w:rsidR="00880E9B" w:rsidRDefault="00A2431D">
      <w:pPr>
        <w:pStyle w:val="Sottotitolo"/>
        <w:spacing w:before="120" w:line="360" w:lineRule="auto"/>
        <w:jc w:val="center"/>
        <w:rPr>
          <w:b/>
          <w:color w:val="20124D"/>
        </w:rPr>
      </w:pPr>
      <w:bookmarkStart w:id="2" w:name="_2cqiawmjkaki" w:colFirst="0" w:colLast="0"/>
      <w:bookmarkEnd w:id="2"/>
      <w:r>
        <w:rPr>
          <w:b/>
          <w:color w:val="20124D"/>
        </w:rPr>
        <w:t>Portale dei Servizi WEB</w:t>
      </w:r>
    </w:p>
    <w:p w:rsidR="00880E9B" w:rsidRDefault="00880E9B">
      <w:pPr>
        <w:tabs>
          <w:tab w:val="right" w:pos="567"/>
          <w:tab w:val="right" w:pos="8505"/>
        </w:tabs>
        <w:ind w:left="4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880E9B" w:rsidRDefault="00880E9B">
      <w:pPr>
        <w:rPr>
          <w:sz w:val="28"/>
          <w:szCs w:val="28"/>
        </w:rPr>
      </w:pPr>
    </w:p>
    <w:tbl>
      <w:tblPr>
        <w:tblStyle w:val="a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6"/>
        <w:gridCol w:w="6750"/>
      </w:tblGrid>
      <w:tr w:rsidR="00880E9B">
        <w:tc>
          <w:tcPr>
            <w:tcW w:w="2266" w:type="dxa"/>
          </w:tcPr>
          <w:p w:rsidR="00880E9B" w:rsidRDefault="00A2431D">
            <w:pPr>
              <w:rPr>
                <w:rFonts w:ascii="Trebuchet MS" w:eastAsia="Trebuchet MS" w:hAnsi="Trebuchet MS" w:cs="Trebuchet MS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color w:val="000000"/>
                <w:sz w:val="22"/>
                <w:szCs w:val="22"/>
              </w:rPr>
              <w:t>Versione</w:t>
            </w:r>
          </w:p>
        </w:tc>
        <w:tc>
          <w:tcPr>
            <w:tcW w:w="6750" w:type="dxa"/>
          </w:tcPr>
          <w:p w:rsidR="00880E9B" w:rsidRDefault="00A2431D">
            <w:pPr>
              <w:jc w:val="both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1.</w:t>
            </w:r>
            <w:r>
              <w:rPr>
                <w:rFonts w:ascii="Trebuchet MS" w:eastAsia="Trebuchet MS" w:hAnsi="Trebuchet MS" w:cs="Trebuchet MS"/>
                <w:b/>
              </w:rPr>
              <w:t>1</w:t>
            </w:r>
          </w:p>
        </w:tc>
      </w:tr>
      <w:tr w:rsidR="00880E9B">
        <w:tc>
          <w:tcPr>
            <w:tcW w:w="2266" w:type="dxa"/>
          </w:tcPr>
          <w:p w:rsidR="00880E9B" w:rsidRDefault="00A2431D">
            <w:pPr>
              <w:rPr>
                <w:rFonts w:ascii="Trebuchet MS" w:eastAsia="Trebuchet MS" w:hAnsi="Trebuchet MS" w:cs="Trebuchet MS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color w:val="000000"/>
                <w:sz w:val="22"/>
                <w:szCs w:val="22"/>
              </w:rPr>
              <w:t>Data ultima modifica</w:t>
            </w:r>
          </w:p>
        </w:tc>
        <w:tc>
          <w:tcPr>
            <w:tcW w:w="6750" w:type="dxa"/>
          </w:tcPr>
          <w:p w:rsidR="00880E9B" w:rsidRDefault="00A2431D">
            <w:pPr>
              <w:jc w:val="both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07/06/2023</w:t>
            </w:r>
          </w:p>
        </w:tc>
      </w:tr>
    </w:tbl>
    <w:p w:rsidR="00880E9B" w:rsidRDefault="00880E9B">
      <w:pPr>
        <w:tabs>
          <w:tab w:val="right" w:pos="567"/>
          <w:tab w:val="right" w:pos="8505"/>
        </w:tabs>
        <w:ind w:left="2" w:hanging="2"/>
        <w:rPr>
          <w:rFonts w:ascii="Arial" w:eastAsia="Arial" w:hAnsi="Arial" w:cs="Arial"/>
          <w:color w:val="000000"/>
        </w:rPr>
      </w:pPr>
    </w:p>
    <w:p w:rsidR="00880E9B" w:rsidRDefault="00A2431D">
      <w:pPr>
        <w:spacing w:line="259" w:lineRule="auto"/>
      </w:pPr>
      <w:r>
        <w:br w:type="page"/>
      </w:r>
    </w:p>
    <w:p w:rsidR="00880E9B" w:rsidRDefault="00A243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rPr>
          <w:color w:val="2F5496"/>
          <w:sz w:val="32"/>
          <w:szCs w:val="32"/>
        </w:rPr>
      </w:pPr>
      <w:r>
        <w:rPr>
          <w:color w:val="2F5496"/>
          <w:sz w:val="32"/>
          <w:szCs w:val="32"/>
        </w:rPr>
        <w:lastRenderedPageBreak/>
        <w:t>Sommario</w:t>
      </w:r>
    </w:p>
    <w:sdt>
      <w:sdtPr>
        <w:id w:val="-1435818739"/>
        <w:docPartObj>
          <w:docPartGallery w:val="Table of Contents"/>
          <w:docPartUnique/>
        </w:docPartObj>
      </w:sdtPr>
      <w:sdtEndPr/>
      <w:sdtContent>
        <w:p w:rsidR="00880E9B" w:rsidRDefault="00A2431D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gjdgxs">
            <w:r>
              <w:rPr>
                <w:color w:val="000000"/>
              </w:rPr>
              <w:t>1. Introduzione</w:t>
            </w:r>
            <w:r>
              <w:rPr>
                <w:color w:val="000000"/>
              </w:rPr>
              <w:tab/>
              <w:t>3</w:t>
            </w:r>
          </w:hyperlink>
        </w:p>
        <w:p w:rsidR="00880E9B" w:rsidRDefault="00A2431D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hyperlink w:anchor="_30j0zll">
            <w:r>
              <w:rPr>
                <w:color w:val="000000"/>
              </w:rPr>
              <w:t>2. Richiesta di Abilitazione profilo Training Coordinator/ Delegato</w:t>
            </w:r>
            <w:r>
              <w:rPr>
                <w:color w:val="000000"/>
              </w:rPr>
              <w:tab/>
              <w:t>3</w:t>
            </w:r>
          </w:hyperlink>
        </w:p>
        <w:p w:rsidR="00880E9B" w:rsidRDefault="00A2431D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hyperlink w:anchor="_1fob9te">
            <w:r>
              <w:rPr>
                <w:color w:val="000000"/>
              </w:rPr>
              <w:t>3. Inserimento accreditamenti pratici</w:t>
            </w:r>
            <w:r>
              <w:rPr>
                <w:color w:val="000000"/>
              </w:rPr>
              <w:tab/>
              <w:t>7</w:t>
            </w:r>
          </w:hyperlink>
          <w:r>
            <w:fldChar w:fldCharType="end"/>
          </w:r>
        </w:p>
      </w:sdtContent>
    </w:sdt>
    <w:p w:rsidR="00880E9B" w:rsidRDefault="00A2431D">
      <w:pPr>
        <w:spacing w:line="259" w:lineRule="auto"/>
      </w:pPr>
      <w:r>
        <w:br w:type="page"/>
      </w:r>
    </w:p>
    <w:p w:rsidR="00880E9B" w:rsidRDefault="00A2431D">
      <w:pPr>
        <w:pStyle w:val="Titolo1"/>
        <w:numPr>
          <w:ilvl w:val="0"/>
          <w:numId w:val="4"/>
        </w:numPr>
      </w:pPr>
      <w:bookmarkStart w:id="3" w:name="_gjdgxs" w:colFirst="0" w:colLast="0"/>
      <w:bookmarkEnd w:id="3"/>
      <w:r>
        <w:lastRenderedPageBreak/>
        <w:t>Introduzione</w:t>
      </w:r>
    </w:p>
    <w:p w:rsidR="00880E9B" w:rsidRDefault="00A243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presente documento è un manuale d’uso per l’utente che vuole richiedere all’ENAC l’abilitazione del profilo Training Coordinator (o delegato del TC) al fine di poter inserire e comunicare all’ENAC gli accreditamenti pratici STS rilasciati dalla </w:t>
      </w:r>
      <w:proofErr w:type="spellStart"/>
      <w:r>
        <w:rPr>
          <w:sz w:val="24"/>
          <w:szCs w:val="24"/>
        </w:rPr>
        <w:t>Recogniz</w:t>
      </w:r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Entity</w:t>
      </w:r>
      <w:proofErr w:type="spellEnd"/>
      <w:r>
        <w:rPr>
          <w:sz w:val="24"/>
          <w:szCs w:val="24"/>
        </w:rPr>
        <w:t xml:space="preserve"> di appartenenza.</w:t>
      </w:r>
    </w:p>
    <w:p w:rsidR="00880E9B" w:rsidRDefault="00880E9B">
      <w:pPr>
        <w:rPr>
          <w:sz w:val="24"/>
          <w:szCs w:val="24"/>
        </w:rPr>
      </w:pPr>
    </w:p>
    <w:p w:rsidR="00880E9B" w:rsidRDefault="00A2431D">
      <w:pPr>
        <w:pStyle w:val="Titolo1"/>
        <w:numPr>
          <w:ilvl w:val="0"/>
          <w:numId w:val="4"/>
        </w:numPr>
      </w:pPr>
      <w:bookmarkStart w:id="4" w:name="_30j0zll" w:colFirst="0" w:colLast="0"/>
      <w:bookmarkEnd w:id="4"/>
      <w:r>
        <w:t>Richiesta di Abilitazione profilo Training Coordinator/ Delegato</w:t>
      </w:r>
    </w:p>
    <w:p w:rsidR="00880E9B" w:rsidRDefault="00A2431D">
      <w:pPr>
        <w:jc w:val="both"/>
        <w:rPr>
          <w:sz w:val="24"/>
          <w:szCs w:val="24"/>
        </w:rPr>
      </w:pPr>
      <w:r>
        <w:rPr>
          <w:sz w:val="24"/>
          <w:szCs w:val="24"/>
        </w:rPr>
        <w:t>Si descrivono di seguito gli step che devono essere effettuati per la richiesta:</w:t>
      </w:r>
    </w:p>
    <w:p w:rsidR="00880E9B" w:rsidRDefault="00A243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L’utente accede al Portale dei Servizi WEB (http://serviziweb.enac.gov.it/) e si a</w:t>
      </w:r>
      <w:r>
        <w:rPr>
          <w:color w:val="000000"/>
          <w:sz w:val="24"/>
          <w:szCs w:val="24"/>
        </w:rPr>
        <w:t xml:space="preserve">utentica mediante le sue credenziali SPID. </w:t>
      </w:r>
    </w:p>
    <w:p w:rsidR="00880E9B" w:rsidRDefault="00A243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Per effettuare l’operazione di autenticazione, dalla Home Page clicca sulla voce </w:t>
      </w:r>
      <w:r>
        <w:rPr>
          <w:i/>
          <w:color w:val="000000"/>
          <w:sz w:val="24"/>
          <w:szCs w:val="24"/>
        </w:rPr>
        <w:t>ACCEDI</w:t>
      </w:r>
      <w:r>
        <w:rPr>
          <w:color w:val="000000"/>
          <w:sz w:val="24"/>
          <w:szCs w:val="24"/>
        </w:rPr>
        <w:t xml:space="preserve"> posta nel menu principale in alto a sinistra, sceglie “</w:t>
      </w:r>
      <w:r>
        <w:rPr>
          <w:i/>
          <w:color w:val="000000"/>
          <w:sz w:val="24"/>
          <w:szCs w:val="24"/>
        </w:rPr>
        <w:t>Entra con SPID</w:t>
      </w:r>
      <w:r>
        <w:rPr>
          <w:color w:val="000000"/>
          <w:sz w:val="24"/>
          <w:szCs w:val="24"/>
        </w:rPr>
        <w:t xml:space="preserve">” e seleziona </w:t>
      </w:r>
      <w:proofErr w:type="spellStart"/>
      <w:r>
        <w:rPr>
          <w:color w:val="000000"/>
          <w:sz w:val="24"/>
          <w:szCs w:val="24"/>
        </w:rPr>
        <w:t>l’identity</w:t>
      </w:r>
      <w:proofErr w:type="spellEnd"/>
      <w:r>
        <w:rPr>
          <w:color w:val="000000"/>
          <w:sz w:val="24"/>
          <w:szCs w:val="24"/>
        </w:rPr>
        <w:t xml:space="preserve"> provider corretto (il fornitor</w:t>
      </w:r>
      <w:r>
        <w:rPr>
          <w:color w:val="000000"/>
          <w:sz w:val="24"/>
          <w:szCs w:val="24"/>
        </w:rPr>
        <w:t>e delle sue credenziali).</w:t>
      </w:r>
    </w:p>
    <w:p w:rsidR="00880E9B" w:rsidRDefault="00A2431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31510" cy="303149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t="74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1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0E9B" w:rsidRDefault="00A243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Terminata la procedura di autenticazione, l’utente viene reindirizzato sul suo Sportello riservato.</w:t>
      </w:r>
    </w:p>
    <w:p w:rsidR="00880E9B" w:rsidRDefault="00A243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L’utente può accedere al servizio cliccando sulla voce di menu principale </w:t>
      </w:r>
      <w:r>
        <w:rPr>
          <w:i/>
          <w:color w:val="000000"/>
          <w:sz w:val="24"/>
          <w:szCs w:val="24"/>
        </w:rPr>
        <w:t>Servizi</w:t>
      </w:r>
      <w:r>
        <w:rPr>
          <w:color w:val="000000"/>
          <w:sz w:val="24"/>
          <w:szCs w:val="24"/>
        </w:rPr>
        <w:t xml:space="preserve">, quindi categoria </w:t>
      </w:r>
      <w:r>
        <w:rPr>
          <w:i/>
          <w:color w:val="000000"/>
          <w:sz w:val="24"/>
          <w:szCs w:val="24"/>
        </w:rPr>
        <w:t>Servizi UAS (Droni)</w:t>
      </w:r>
      <w:r>
        <w:rPr>
          <w:color w:val="000000"/>
          <w:sz w:val="24"/>
          <w:szCs w:val="24"/>
        </w:rPr>
        <w:t xml:space="preserve">, sottocategoria </w:t>
      </w:r>
      <w:r>
        <w:rPr>
          <w:i/>
          <w:color w:val="000000"/>
          <w:sz w:val="24"/>
          <w:szCs w:val="24"/>
        </w:rPr>
        <w:t>Servizi di profilazione</w:t>
      </w:r>
      <w:r>
        <w:rPr>
          <w:color w:val="000000"/>
          <w:sz w:val="24"/>
          <w:szCs w:val="24"/>
        </w:rPr>
        <w:t xml:space="preserve">, link </w:t>
      </w:r>
      <w:r>
        <w:rPr>
          <w:i/>
          <w:color w:val="000000"/>
          <w:sz w:val="24"/>
          <w:szCs w:val="24"/>
        </w:rPr>
        <w:t>Richiesta abilitazione profilo TC-Training Coordinator o Delegato UAS-RE</w:t>
      </w:r>
      <w:r>
        <w:rPr>
          <w:color w:val="000000"/>
          <w:sz w:val="24"/>
          <w:szCs w:val="24"/>
        </w:rPr>
        <w:t xml:space="preserve">. </w:t>
      </w:r>
    </w:p>
    <w:p w:rsidR="00880E9B" w:rsidRDefault="00A243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Nella pagina che appare, l’utente clicca sul pulsante </w:t>
      </w:r>
      <w:r>
        <w:rPr>
          <w:i/>
          <w:color w:val="000000"/>
          <w:sz w:val="24"/>
          <w:szCs w:val="24"/>
        </w:rPr>
        <w:t>CREA PRATICA</w:t>
      </w:r>
      <w:r>
        <w:rPr>
          <w:color w:val="000000"/>
          <w:sz w:val="24"/>
          <w:szCs w:val="24"/>
        </w:rPr>
        <w:t>.</w:t>
      </w:r>
    </w:p>
    <w:p w:rsidR="00880E9B" w:rsidRDefault="00A243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All’interno dello step “Moduli obbligatori”, l’utente clicca sul pulsante </w:t>
      </w:r>
      <w:r>
        <w:rPr>
          <w:i/>
          <w:color w:val="000000"/>
          <w:sz w:val="24"/>
          <w:szCs w:val="24"/>
        </w:rPr>
        <w:t>COMPILA ONLINE</w:t>
      </w:r>
      <w:r>
        <w:rPr>
          <w:color w:val="000000"/>
          <w:sz w:val="24"/>
          <w:szCs w:val="24"/>
        </w:rPr>
        <w:t>.</w:t>
      </w:r>
    </w:p>
    <w:p w:rsidR="00880E9B" w:rsidRDefault="00A243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L’utente prende visione delle informazioni </w:t>
      </w:r>
      <w:proofErr w:type="spellStart"/>
      <w:r>
        <w:rPr>
          <w:color w:val="000000"/>
          <w:sz w:val="24"/>
          <w:szCs w:val="24"/>
        </w:rPr>
        <w:t>prevalorizzate</w:t>
      </w:r>
      <w:proofErr w:type="spellEnd"/>
      <w:r>
        <w:rPr>
          <w:color w:val="000000"/>
          <w:sz w:val="24"/>
          <w:szCs w:val="24"/>
        </w:rPr>
        <w:t xml:space="preserve"> e compila il modulo in ogni sua parte.</w:t>
      </w:r>
      <w:r>
        <w:rPr>
          <w:sz w:val="24"/>
          <w:szCs w:val="24"/>
        </w:rPr>
        <w:t xml:space="preserve"> L’utente sceglie l’</w:t>
      </w:r>
      <w:r>
        <w:rPr>
          <w:i/>
          <w:sz w:val="24"/>
          <w:szCs w:val="24"/>
        </w:rPr>
        <w:t>organizzazione</w:t>
      </w:r>
      <w:r>
        <w:rPr>
          <w:sz w:val="24"/>
          <w:szCs w:val="24"/>
        </w:rPr>
        <w:t xml:space="preserve"> e il </w:t>
      </w:r>
      <w:r>
        <w:rPr>
          <w:i/>
          <w:sz w:val="24"/>
          <w:szCs w:val="24"/>
        </w:rPr>
        <w:t>codice</w:t>
      </w:r>
      <w:r>
        <w:rPr>
          <w:sz w:val="24"/>
          <w:szCs w:val="24"/>
        </w:rPr>
        <w:t xml:space="preserve"> della RE di appartenenz</w:t>
      </w:r>
      <w:r>
        <w:rPr>
          <w:sz w:val="24"/>
          <w:szCs w:val="24"/>
        </w:rPr>
        <w:t>a.</w:t>
      </w:r>
    </w:p>
    <w:p w:rsidR="00880E9B" w:rsidRDefault="00A243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l’utente è il </w:t>
      </w:r>
      <w:r>
        <w:rPr>
          <w:color w:val="000000"/>
          <w:sz w:val="24"/>
          <w:szCs w:val="24"/>
          <w:u w:val="single"/>
        </w:rPr>
        <w:t>Training Coordinator</w:t>
      </w:r>
      <w:r>
        <w:rPr>
          <w:color w:val="000000"/>
          <w:sz w:val="24"/>
          <w:szCs w:val="24"/>
        </w:rPr>
        <w:t xml:space="preserve"> della RE, allora sceglie </w:t>
      </w:r>
      <w:r>
        <w:rPr>
          <w:i/>
          <w:color w:val="000000"/>
          <w:sz w:val="24"/>
          <w:szCs w:val="24"/>
        </w:rPr>
        <w:t>In qualità</w:t>
      </w:r>
      <w:r>
        <w:rPr>
          <w:color w:val="000000"/>
          <w:sz w:val="24"/>
          <w:szCs w:val="24"/>
        </w:rPr>
        <w:t xml:space="preserve"> di “Training Coordinator”, inserisce il </w:t>
      </w:r>
      <w:r>
        <w:rPr>
          <w:i/>
          <w:color w:val="000000"/>
          <w:sz w:val="24"/>
          <w:szCs w:val="24"/>
        </w:rPr>
        <w:t>numero</w:t>
      </w:r>
      <w:r>
        <w:rPr>
          <w:color w:val="000000"/>
          <w:sz w:val="24"/>
          <w:szCs w:val="24"/>
        </w:rPr>
        <w:t xml:space="preserve"> dell’attestato UAS e carica il suo </w:t>
      </w:r>
      <w:r>
        <w:rPr>
          <w:i/>
          <w:color w:val="000000"/>
          <w:sz w:val="24"/>
          <w:szCs w:val="24"/>
        </w:rPr>
        <w:t>attestato</w:t>
      </w:r>
      <w:r>
        <w:rPr>
          <w:color w:val="000000"/>
          <w:sz w:val="24"/>
          <w:szCs w:val="24"/>
        </w:rPr>
        <w:t xml:space="preserve">. Carica inoltre il </w:t>
      </w:r>
      <w:r>
        <w:rPr>
          <w:i/>
          <w:color w:val="000000"/>
          <w:sz w:val="24"/>
          <w:szCs w:val="24"/>
        </w:rPr>
        <w:t>logo</w:t>
      </w:r>
      <w:r>
        <w:rPr>
          <w:color w:val="000000"/>
          <w:sz w:val="24"/>
          <w:szCs w:val="24"/>
        </w:rPr>
        <w:t xml:space="preserve"> della RE di appartenenza nel caso in cui il logo non sia mai st</w:t>
      </w:r>
      <w:r>
        <w:rPr>
          <w:color w:val="000000"/>
          <w:sz w:val="24"/>
          <w:szCs w:val="24"/>
        </w:rPr>
        <w:t>ato inviato all’ENAC tramite codesta procedura oppure nel caso in cui il logo debba essere sostituito.</w:t>
      </w:r>
    </w:p>
    <w:p w:rsidR="00880E9B" w:rsidRDefault="00A2431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color w:val="000000"/>
          <w:sz w:val="24"/>
          <w:szCs w:val="24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230054" cy="494554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0054" cy="49455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0E9B" w:rsidRDefault="00A243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l’utente è il </w:t>
      </w:r>
      <w:r>
        <w:rPr>
          <w:color w:val="000000"/>
          <w:sz w:val="24"/>
          <w:szCs w:val="24"/>
          <w:u w:val="single"/>
        </w:rPr>
        <w:t>Delegato del Training Coordinator</w:t>
      </w:r>
      <w:r>
        <w:rPr>
          <w:color w:val="000000"/>
          <w:sz w:val="24"/>
          <w:szCs w:val="24"/>
        </w:rPr>
        <w:t xml:space="preserve">, allora sceglie </w:t>
      </w:r>
      <w:r>
        <w:rPr>
          <w:i/>
          <w:color w:val="000000"/>
          <w:sz w:val="24"/>
          <w:szCs w:val="24"/>
        </w:rPr>
        <w:t>In qualità di</w:t>
      </w:r>
      <w:r>
        <w:rPr>
          <w:color w:val="000000"/>
          <w:sz w:val="24"/>
          <w:szCs w:val="24"/>
        </w:rPr>
        <w:t xml:space="preserve"> “Delegato del Training Coordinator”, inserisce un riferimento alla del</w:t>
      </w:r>
      <w:r>
        <w:rPr>
          <w:color w:val="000000"/>
          <w:sz w:val="24"/>
          <w:szCs w:val="24"/>
        </w:rPr>
        <w:t xml:space="preserve">ega e carica il documento di delega; digita inoltre il codice fiscale del delegante (TC) e clicca sul pulsante “ASSOCIA DELEGANTE” per associare correttamente la delega (se il CF è corretto, apparirà il messaggio “Delegante associato correttamente.”). </w:t>
      </w:r>
    </w:p>
    <w:p w:rsidR="00880E9B" w:rsidRDefault="00A243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L’u</w:t>
      </w:r>
      <w:r>
        <w:rPr>
          <w:color w:val="000000"/>
          <w:sz w:val="24"/>
          <w:szCs w:val="24"/>
        </w:rPr>
        <w:t xml:space="preserve">tente verifica che tutte le informazioni siano corrette e prosegue con il click sul pulsante </w:t>
      </w:r>
      <w:r>
        <w:rPr>
          <w:i/>
          <w:color w:val="000000"/>
          <w:sz w:val="24"/>
          <w:szCs w:val="24"/>
        </w:rPr>
        <w:t>COMPLETA E PROCEDI</w:t>
      </w:r>
      <w:r>
        <w:rPr>
          <w:color w:val="000000"/>
          <w:sz w:val="24"/>
          <w:szCs w:val="24"/>
        </w:rPr>
        <w:t xml:space="preserve">; il sistema genera un documento pdf associato alla richiesta che può essere scaricato e consultato mediante il pulsante </w:t>
      </w:r>
      <w:r>
        <w:rPr>
          <w:i/>
          <w:color w:val="000000"/>
          <w:sz w:val="24"/>
          <w:szCs w:val="24"/>
        </w:rPr>
        <w:t>SCARICA</w:t>
      </w:r>
      <w:r>
        <w:rPr>
          <w:color w:val="000000"/>
          <w:sz w:val="24"/>
          <w:szCs w:val="24"/>
        </w:rPr>
        <w:t>.</w:t>
      </w:r>
    </w:p>
    <w:p w:rsidR="00880E9B" w:rsidRDefault="00A243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L’utente proseg</w:t>
      </w:r>
      <w:r>
        <w:rPr>
          <w:color w:val="000000"/>
          <w:sz w:val="24"/>
          <w:szCs w:val="24"/>
        </w:rPr>
        <w:t xml:space="preserve">ue cliccando su </w:t>
      </w:r>
      <w:r>
        <w:rPr>
          <w:i/>
          <w:color w:val="000000"/>
          <w:sz w:val="24"/>
          <w:szCs w:val="24"/>
        </w:rPr>
        <w:t>AVANTI</w:t>
      </w:r>
      <w:r>
        <w:rPr>
          <w:color w:val="000000"/>
          <w:sz w:val="24"/>
          <w:szCs w:val="24"/>
        </w:rPr>
        <w:t>; si trova quindi sullo step “</w:t>
      </w:r>
      <w:r>
        <w:rPr>
          <w:i/>
          <w:color w:val="000000"/>
          <w:sz w:val="24"/>
          <w:szCs w:val="24"/>
        </w:rPr>
        <w:t>Invio pratica” (vedi figura seguente)</w:t>
      </w:r>
      <w:r>
        <w:rPr>
          <w:color w:val="000000"/>
          <w:sz w:val="24"/>
          <w:szCs w:val="24"/>
        </w:rPr>
        <w:t xml:space="preserve">. Clicca su </w:t>
      </w:r>
      <w:r>
        <w:rPr>
          <w:i/>
          <w:color w:val="000000"/>
          <w:sz w:val="24"/>
          <w:szCs w:val="24"/>
        </w:rPr>
        <w:t>CONFERMA L’INVIO</w:t>
      </w:r>
      <w:r>
        <w:rPr>
          <w:color w:val="000000"/>
          <w:sz w:val="24"/>
          <w:szCs w:val="24"/>
        </w:rPr>
        <w:t xml:space="preserve"> per inviare la richiesta all’ENAC. </w:t>
      </w:r>
    </w:p>
    <w:p w:rsidR="00880E9B" w:rsidRDefault="00A2431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4497070" cy="3870325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l="21538"/>
                    <a:stretch>
                      <a:fillRect/>
                    </a:stretch>
                  </pic:blipFill>
                  <pic:spPr>
                    <a:xfrm>
                      <a:off x="0" y="0"/>
                      <a:ext cx="4497070" cy="3870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0E9B" w:rsidRDefault="00A243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L’utente attende la lavorazione della sua richiesta da parte dell’ENAC. </w:t>
      </w:r>
    </w:p>
    <w:p w:rsidR="00880E9B" w:rsidRDefault="00A243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2"/>
          <w:szCs w:val="32"/>
        </w:rPr>
      </w:pPr>
      <w:r>
        <w:rPr>
          <w:color w:val="000000"/>
          <w:sz w:val="24"/>
          <w:szCs w:val="24"/>
        </w:rPr>
        <w:t>L’utente viene notificato mediante email circa l’esito della sua richiesta.</w:t>
      </w:r>
    </w:p>
    <w:p w:rsidR="00880E9B" w:rsidRDefault="00A243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6120130" cy="5160010"/>
            <wp:effectExtent l="0" t="0" r="0" b="0"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60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0E9B" w:rsidRDefault="00A2431D">
      <w:pPr>
        <w:pStyle w:val="Titolo3"/>
        <w:spacing w:line="259" w:lineRule="auto"/>
      </w:pPr>
      <w:bookmarkStart w:id="5" w:name="_5zvrhapo8iyp" w:colFirst="0" w:colLast="0"/>
      <w:bookmarkEnd w:id="5"/>
      <w:r>
        <w:t xml:space="preserve">Info qualità e dimensioni LOGO della </w:t>
      </w:r>
      <w:proofErr w:type="spellStart"/>
      <w:r>
        <w:t>Recognized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 - RE</w:t>
      </w:r>
    </w:p>
    <w:p w:rsidR="00880E9B" w:rsidRDefault="00A2431D">
      <w:pPr>
        <w:spacing w:line="259" w:lineRule="auto"/>
      </w:pPr>
      <w:r>
        <w:t>L’immagine della RE che il TC -Training Coordinator deve caricare in fase di richiesta di abilitazione del proprio profilo deve avere le seguenti caratteristiche affinché sia correttamente visualizzata sull’attestato rilasciato.</w:t>
      </w:r>
    </w:p>
    <w:p w:rsidR="00880E9B" w:rsidRDefault="00A2431D">
      <w:pPr>
        <w:numPr>
          <w:ilvl w:val="0"/>
          <w:numId w:val="2"/>
        </w:numPr>
        <w:spacing w:after="0" w:line="259" w:lineRule="auto"/>
      </w:pPr>
      <w:r>
        <w:t>Le dimensioni dei documenti</w:t>
      </w:r>
      <w:r>
        <w:t xml:space="preserve"> da acquisire non devono superare la soglia massima di 2 MB per documento;</w:t>
      </w:r>
    </w:p>
    <w:p w:rsidR="00880E9B" w:rsidRDefault="00A2431D">
      <w:pPr>
        <w:numPr>
          <w:ilvl w:val="0"/>
          <w:numId w:val="2"/>
        </w:numPr>
        <w:spacing w:line="259" w:lineRule="auto"/>
      </w:pPr>
      <w:r>
        <w:t xml:space="preserve">Per il file del </w:t>
      </w:r>
      <w:r>
        <w:rPr>
          <w:b/>
        </w:rPr>
        <w:t>LOGO</w:t>
      </w:r>
      <w:r>
        <w:t xml:space="preserve"> sono accettati i seguenti formati: jpg, jpeg, </w:t>
      </w:r>
      <w:proofErr w:type="spellStart"/>
      <w:r>
        <w:t>png</w:t>
      </w:r>
      <w:proofErr w:type="spellEnd"/>
      <w:r>
        <w:t xml:space="preserve"> e le seguenti caratteristiche di risoluzione e dimensione: </w:t>
      </w:r>
      <w:r>
        <w:rPr>
          <w:b/>
        </w:rPr>
        <w:t xml:space="preserve">300 dpi, circa 100x100 </w:t>
      </w:r>
      <w:proofErr w:type="spellStart"/>
      <w:r>
        <w:rPr>
          <w:b/>
        </w:rPr>
        <w:t>px</w:t>
      </w:r>
      <w:proofErr w:type="spellEnd"/>
      <w:r>
        <w:rPr>
          <w:b/>
        </w:rPr>
        <w:t>.</w:t>
      </w:r>
    </w:p>
    <w:p w:rsidR="00880E9B" w:rsidRDefault="00A2431D">
      <w:pPr>
        <w:spacing w:line="259" w:lineRule="auto"/>
      </w:pPr>
      <w:r>
        <w:t xml:space="preserve">   </w:t>
      </w:r>
    </w:p>
    <w:p w:rsidR="00880E9B" w:rsidRDefault="00A2431D">
      <w:pPr>
        <w:pStyle w:val="Titolo"/>
        <w:ind w:left="360"/>
        <w:rPr>
          <w:color w:val="2F5496"/>
        </w:rPr>
      </w:pPr>
      <w:bookmarkStart w:id="6" w:name="_ec6uu3v2wnta" w:colFirst="0" w:colLast="0"/>
      <w:bookmarkEnd w:id="6"/>
      <w:r>
        <w:rPr>
          <w:color w:val="2F5496"/>
        </w:rPr>
        <w:lastRenderedPageBreak/>
        <w:t>Procedura Inseriment</w:t>
      </w:r>
      <w:r>
        <w:rPr>
          <w:color w:val="2F5496"/>
        </w:rPr>
        <w:t>o accreditamenti Piloti STS</w:t>
      </w:r>
    </w:p>
    <w:p w:rsidR="00880E9B" w:rsidRDefault="00A2431D">
      <w:pPr>
        <w:pStyle w:val="Titolo1"/>
        <w:numPr>
          <w:ilvl w:val="0"/>
          <w:numId w:val="4"/>
        </w:numPr>
      </w:pPr>
      <w:bookmarkStart w:id="7" w:name="_1fob9te" w:colFirst="0" w:colLast="0"/>
      <w:bookmarkEnd w:id="7"/>
      <w:r>
        <w:t>Inserimento accreditamenti pratici</w:t>
      </w:r>
    </w:p>
    <w:p w:rsidR="00880E9B" w:rsidRDefault="00A2431D">
      <w:pPr>
        <w:jc w:val="both"/>
        <w:rPr>
          <w:sz w:val="24"/>
          <w:szCs w:val="24"/>
        </w:rPr>
      </w:pPr>
      <w:r>
        <w:rPr>
          <w:sz w:val="24"/>
          <w:szCs w:val="24"/>
        </w:rPr>
        <w:t>L’utente, dopo essere stato abilitato dall’ENAC (come descritto nel cap.2), può accedere alla sezione “Accreditamenti STS” sul Portale dei Servizi WEB. Tale sezione è raggiungibile sia dallo sp</w:t>
      </w:r>
      <w:r>
        <w:rPr>
          <w:sz w:val="24"/>
          <w:szCs w:val="24"/>
        </w:rPr>
        <w:t>ortello riservato (come voce di menu laterale) sia navigando il menu Servizi -&gt; Servizi UAS (Droni) -&gt; UAS STS -&gt; link Comunicazione accreditamenti pratici STS.</w:t>
      </w:r>
    </w:p>
    <w:p w:rsidR="00880E9B" w:rsidRDefault="00A2431D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Nella pagina Accreditamenti STS, il coordinatore può avviare la procedura di inserimento degli </w:t>
      </w:r>
      <w:r>
        <w:rPr>
          <w:sz w:val="24"/>
          <w:szCs w:val="24"/>
        </w:rPr>
        <w:t>accreditamenti pratici e può prendere visione di tutte quelle comunicate all’ENAC dalla RE di appartenenza.</w:t>
      </w:r>
      <w:r>
        <w:rPr>
          <w:sz w:val="22"/>
          <w:szCs w:val="22"/>
        </w:rPr>
        <w:t xml:space="preserve"> </w:t>
      </w:r>
    </w:p>
    <w:p w:rsidR="00880E9B" w:rsidRDefault="00A2431D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20130" cy="2539365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39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0E9B" w:rsidRDefault="00A243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la procedura di </w:t>
      </w:r>
      <w:r>
        <w:rPr>
          <w:sz w:val="24"/>
          <w:szCs w:val="24"/>
          <w:u w:val="single"/>
        </w:rPr>
        <w:t>Inserimento degli accreditamenti</w:t>
      </w:r>
      <w:r>
        <w:rPr>
          <w:sz w:val="24"/>
          <w:szCs w:val="24"/>
        </w:rPr>
        <w:t xml:space="preserve">, </w:t>
      </w:r>
    </w:p>
    <w:p w:rsidR="00880E9B" w:rsidRDefault="00A243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cliccare sul pulsante verde “INSERISCI ACCREDITAMENTI”, quindi “Compila online”. Nel modul</w:t>
      </w:r>
      <w:r>
        <w:rPr>
          <w:color w:val="000000"/>
          <w:sz w:val="24"/>
          <w:szCs w:val="24"/>
        </w:rPr>
        <w:t xml:space="preserve">o che appare, leggere attentamente le istruzioni di compilazione. </w:t>
      </w:r>
    </w:p>
    <w:p w:rsidR="00880E9B" w:rsidRDefault="00A2431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Per l’inserimento di un candidato nella lista dei candidati che verranno inviati all’ENAC, il TC/delegato deve specificare i seguenti dati: il codice fiscale del candidato, il codice di un suo attestato in corso di validità, la tipologia di esame svolta e </w:t>
      </w:r>
      <w:r>
        <w:rPr>
          <w:sz w:val="24"/>
          <w:szCs w:val="24"/>
        </w:rPr>
        <w:t>la data di conseguimento dell'attestato pratico. Cliccare quindi sul pulsante "Verifica candidato" e prendere visione dei dati che compaiono per assicurarsi che il candidato indicato sia quello desiderato. Se dopo la verifica del candidato appare un errore</w:t>
      </w:r>
      <w:r>
        <w:rPr>
          <w:sz w:val="24"/>
          <w:szCs w:val="24"/>
        </w:rPr>
        <w:t xml:space="preserve"> in rosso, significa che l'accreditamento per quel candidato non può essere inserito (</w:t>
      </w:r>
      <w:r>
        <w:rPr>
          <w:i/>
          <w:sz w:val="24"/>
          <w:szCs w:val="24"/>
        </w:rPr>
        <w:t>verificare sempre che i dati inseriti siano corretti e che il candidato sia censito nel sistema - è necessario infatti che il candidato sia registrato via SPID sul portal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 xml:space="preserve">). Se non ci sono errori, cliccare infine su "Aggiungi candidato alla lista". </w:t>
      </w:r>
    </w:p>
    <w:p w:rsidR="00880E9B" w:rsidRDefault="00A2431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Ripetere l'intera procedura per ogni candidato da comunicare.</w:t>
      </w:r>
    </w:p>
    <w:p w:rsidR="00880E9B" w:rsidRDefault="00A2431D">
      <w:pPr>
        <w:ind w:left="708"/>
        <w:jc w:val="both"/>
      </w:pPr>
      <w:r>
        <w:rPr>
          <w:sz w:val="24"/>
          <w:szCs w:val="24"/>
        </w:rPr>
        <w:t>Attenzione: si consiglia di comunicare </w:t>
      </w:r>
      <w:r>
        <w:rPr>
          <w:sz w:val="24"/>
          <w:szCs w:val="24"/>
          <w:u w:val="single"/>
        </w:rPr>
        <w:t>MAX 10 candidati</w:t>
      </w:r>
      <w:r>
        <w:rPr>
          <w:sz w:val="24"/>
          <w:szCs w:val="24"/>
        </w:rPr>
        <w:t> per volta all'interno dello stesso modulo per evitare rall</w:t>
      </w:r>
      <w:r>
        <w:rPr>
          <w:sz w:val="24"/>
          <w:szCs w:val="24"/>
        </w:rPr>
        <w:t>entamenti sulla generazione interna degli attestati.</w:t>
      </w:r>
      <w:r>
        <w:t xml:space="preserve"> </w:t>
      </w:r>
    </w:p>
    <w:p w:rsidR="00880E9B" w:rsidRDefault="00A2431D">
      <w:pPr>
        <w:ind w:left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40004" cy="4386968"/>
            <wp:effectExtent l="0" t="0" r="0" b="0"/>
            <wp:docPr id="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0004" cy="43869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0E9B" w:rsidRDefault="00A243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Inseriti tutti gli accreditamenti, l’utente clicca sul pulsante </w:t>
      </w:r>
      <w:r>
        <w:rPr>
          <w:i/>
          <w:color w:val="000000"/>
          <w:sz w:val="24"/>
          <w:szCs w:val="24"/>
        </w:rPr>
        <w:t>COMPLETA E PROCEDI</w:t>
      </w:r>
      <w:r>
        <w:rPr>
          <w:color w:val="000000"/>
          <w:sz w:val="24"/>
          <w:szCs w:val="24"/>
        </w:rPr>
        <w:t xml:space="preserve">; il sistema genera un documento pdf associato alla comunicazione che può essere scaricato e consultato mediante il pulsante </w:t>
      </w:r>
      <w:r>
        <w:rPr>
          <w:i/>
          <w:color w:val="000000"/>
          <w:sz w:val="24"/>
          <w:szCs w:val="24"/>
        </w:rPr>
        <w:t>SCARICA</w:t>
      </w:r>
      <w:r>
        <w:rPr>
          <w:color w:val="000000"/>
          <w:sz w:val="24"/>
          <w:szCs w:val="24"/>
        </w:rPr>
        <w:t>.</w:t>
      </w:r>
    </w:p>
    <w:p w:rsidR="00880E9B" w:rsidRDefault="00A243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  <w:sz w:val="24"/>
          <w:szCs w:val="24"/>
        </w:rPr>
        <w:t xml:space="preserve">L’utente prosegue cliccando su </w:t>
      </w:r>
      <w:r>
        <w:rPr>
          <w:i/>
          <w:color w:val="000000"/>
          <w:sz w:val="24"/>
          <w:szCs w:val="24"/>
        </w:rPr>
        <w:t>AVANTI</w:t>
      </w:r>
      <w:r>
        <w:rPr>
          <w:color w:val="000000"/>
          <w:sz w:val="24"/>
          <w:szCs w:val="24"/>
        </w:rPr>
        <w:t>; si trova quindi sullo step “</w:t>
      </w:r>
      <w:r>
        <w:rPr>
          <w:i/>
          <w:color w:val="000000"/>
          <w:sz w:val="24"/>
          <w:szCs w:val="24"/>
        </w:rPr>
        <w:t>Invio pratica”</w:t>
      </w:r>
      <w:r>
        <w:rPr>
          <w:color w:val="000000"/>
          <w:sz w:val="24"/>
          <w:szCs w:val="24"/>
        </w:rPr>
        <w:t xml:space="preserve">. Clicca su </w:t>
      </w:r>
      <w:r>
        <w:rPr>
          <w:i/>
          <w:color w:val="000000"/>
          <w:sz w:val="24"/>
          <w:szCs w:val="24"/>
        </w:rPr>
        <w:t>CONFERMA L’INVIO</w:t>
      </w:r>
      <w:r>
        <w:rPr>
          <w:color w:val="000000"/>
          <w:sz w:val="24"/>
          <w:szCs w:val="24"/>
        </w:rPr>
        <w:t xml:space="preserve"> per inviare </w:t>
      </w:r>
      <w:r>
        <w:rPr>
          <w:color w:val="000000"/>
          <w:sz w:val="24"/>
          <w:szCs w:val="24"/>
        </w:rPr>
        <w:t>la comunicazione all’ENAC.</w:t>
      </w:r>
    </w:p>
    <w:p w:rsidR="00880E9B" w:rsidRDefault="00A243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La pratica risulterà conclusa entro qualche minuto (in base al numero degli accreditamenti inseriti).</w:t>
      </w:r>
    </w:p>
    <w:p w:rsidR="00880E9B" w:rsidRDefault="00A243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Una volta inviata la comunicazione, l’utente può prendere visione degli accreditamenti inviati all’interno della pagina Accredi</w:t>
      </w:r>
      <w:r>
        <w:rPr>
          <w:sz w:val="24"/>
          <w:szCs w:val="24"/>
        </w:rPr>
        <w:t xml:space="preserve">tamenti STS. Tramite i campi della </w:t>
      </w:r>
      <w:proofErr w:type="spellStart"/>
      <w:r>
        <w:rPr>
          <w:sz w:val="24"/>
          <w:szCs w:val="24"/>
        </w:rPr>
        <w:t>form</w:t>
      </w:r>
      <w:proofErr w:type="spellEnd"/>
      <w:r>
        <w:rPr>
          <w:sz w:val="24"/>
          <w:szCs w:val="24"/>
        </w:rPr>
        <w:t xml:space="preserve"> di ricerca può cercare gli accreditamenti per CF del candidato, stato e periodo dell’invio.</w:t>
      </w:r>
    </w:p>
    <w:p w:rsidR="00880E9B" w:rsidRDefault="00A243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Subito dopo l’invio della comunicazione, l’accreditamento acquisisce lo stato di “in elaborazione”. </w:t>
      </w:r>
    </w:p>
    <w:p w:rsidR="00880E9B" w:rsidRDefault="00880E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880E9B" w:rsidRDefault="00A2431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776316" cy="3501706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6316" cy="35017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0E9B" w:rsidRDefault="00A243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stato diventa CONCLUSO al termine della generazione dell’attestato per quel candidato. </w:t>
      </w:r>
    </w:p>
    <w:p w:rsidR="00880E9B" w:rsidRDefault="00880E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880E9B" w:rsidRDefault="00A2431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637214" cy="3507022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7214" cy="35070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0E9B" w:rsidRDefault="00A243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Sugli accreditamenti con stato concluso l’utente può visualizzare i documenti ricevuti come risposta (click su icona “freccia </w:t>
      </w:r>
      <w:r>
        <w:rPr>
          <w:noProof/>
          <w:sz w:val="24"/>
          <w:szCs w:val="24"/>
        </w:rPr>
        <w:drawing>
          <wp:inline distT="0" distB="0" distL="0" distR="0">
            <wp:extent cx="191216" cy="172094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216" cy="172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”). In risposta infatti è sempre pr</w:t>
      </w:r>
      <w:r>
        <w:rPr>
          <w:sz w:val="24"/>
          <w:szCs w:val="24"/>
        </w:rPr>
        <w:t>esente un documento che elenca tutti gli accreditamenti inviati con il codice dell’attestato prodotto per ognuno di essi, e tutti i file degli attestati generati dal sistema.</w:t>
      </w:r>
    </w:p>
    <w:p w:rsidR="00880E9B" w:rsidRDefault="00880E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880E9B" w:rsidRDefault="00A2431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965026" cy="5598148"/>
            <wp:effectExtent l="0" t="0" r="0" b="0"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026" cy="5598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0E9B" w:rsidRDefault="00A243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L’utente TC/delegato che ha inviato la comunicazione riceve sempre una mail di</w:t>
      </w:r>
      <w:r>
        <w:rPr>
          <w:sz w:val="24"/>
          <w:szCs w:val="24"/>
        </w:rPr>
        <w:t xml:space="preserve"> notifica a conclusione della pratica e della generazione degli attestati.</w:t>
      </w:r>
    </w:p>
    <w:p w:rsidR="00880E9B" w:rsidRDefault="00A243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Anche i candidati ricevono una mail che li avvisa della generazione del loro attestato e della possibilità di scaricarlo sul Portale.</w:t>
      </w:r>
    </w:p>
    <w:p w:rsidR="00880E9B" w:rsidRDefault="00A243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Solo dopo che tutti gli accreditamenti comunicati sono passati allo stato CONCLUSO, l’utente può </w:t>
      </w:r>
      <w:proofErr w:type="spellStart"/>
      <w:r>
        <w:rPr>
          <w:sz w:val="24"/>
          <w:szCs w:val="24"/>
        </w:rPr>
        <w:t>rieffettuare</w:t>
      </w:r>
      <w:proofErr w:type="spellEnd"/>
      <w:r>
        <w:rPr>
          <w:sz w:val="24"/>
          <w:szCs w:val="24"/>
        </w:rPr>
        <w:t xml:space="preserve"> una nuova comunicazione.</w:t>
      </w:r>
    </w:p>
    <w:p w:rsidR="00880E9B" w:rsidRDefault="00A243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TC e i delegati di una stessa RE possono visualizzare gli accreditamenti inviati da qualsiasi persona abilitata per que</w:t>
      </w:r>
      <w:r>
        <w:rPr>
          <w:sz w:val="24"/>
          <w:szCs w:val="24"/>
        </w:rPr>
        <w:t>lla RE e il relativo stato.</w:t>
      </w:r>
    </w:p>
    <w:p w:rsidR="00880E9B" w:rsidRDefault="00A243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Nota bene. Il servizio di inserimento degli accreditamenti è attivo dal LUNEDÌ al SABATO dalle ore 8.00 alle ore 20.00 </w:t>
      </w:r>
      <w:r>
        <w:rPr>
          <w:color w:val="000000"/>
          <w:sz w:val="24"/>
          <w:szCs w:val="24"/>
        </w:rPr>
        <w:t>(compatibilmente con i giorni e gli orari di apertura della RE).</w:t>
      </w:r>
    </w:p>
    <w:sectPr w:rsidR="00880E9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31D" w:rsidRDefault="00A2431D">
      <w:pPr>
        <w:spacing w:after="0" w:line="240" w:lineRule="auto"/>
      </w:pPr>
      <w:r>
        <w:separator/>
      </w:r>
    </w:p>
  </w:endnote>
  <w:endnote w:type="continuationSeparator" w:id="0">
    <w:p w:rsidR="00A2431D" w:rsidRDefault="00A2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C97" w:rsidRDefault="00330C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E9B" w:rsidRDefault="00880E9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679" w:type="dxa"/>
      <w:tblInd w:w="0" w:type="dxa"/>
      <w:tblBorders>
        <w:top w:val="single" w:sz="8" w:space="0" w:color="808080"/>
      </w:tblBorders>
      <w:tblLayout w:type="fixed"/>
      <w:tblLook w:val="0000" w:firstRow="0" w:lastRow="0" w:firstColumn="0" w:lastColumn="0" w:noHBand="0" w:noVBand="0"/>
    </w:tblPr>
    <w:tblGrid>
      <w:gridCol w:w="4845"/>
      <w:gridCol w:w="4834"/>
    </w:tblGrid>
    <w:tr w:rsidR="00880E9B">
      <w:trPr>
        <w:trHeight w:val="540"/>
      </w:trPr>
      <w:tc>
        <w:tcPr>
          <w:tcW w:w="4845" w:type="dxa"/>
          <w:tcBorders>
            <w:top w:val="single" w:sz="8" w:space="0" w:color="808080"/>
          </w:tcBorders>
          <w:vAlign w:val="center"/>
        </w:tcPr>
        <w:p w:rsidR="00880E9B" w:rsidRDefault="00880E9B">
          <w:pPr>
            <w:spacing w:after="0"/>
            <w:rPr>
              <w:sz w:val="16"/>
              <w:szCs w:val="16"/>
            </w:rPr>
          </w:pPr>
        </w:p>
        <w:p w:rsidR="00880E9B" w:rsidRDefault="00880E9B">
          <w:pPr>
            <w:spacing w:after="0"/>
            <w:rPr>
              <w:sz w:val="16"/>
              <w:szCs w:val="16"/>
            </w:rPr>
          </w:pPr>
        </w:p>
      </w:tc>
      <w:tc>
        <w:tcPr>
          <w:tcW w:w="4834" w:type="dxa"/>
          <w:tcBorders>
            <w:top w:val="single" w:sz="8" w:space="0" w:color="808080"/>
          </w:tcBorders>
          <w:vAlign w:val="center"/>
        </w:tcPr>
        <w:p w:rsidR="00880E9B" w:rsidRDefault="00880E9B">
          <w:pPr>
            <w:jc w:val="right"/>
            <w:rPr>
              <w:sz w:val="20"/>
              <w:szCs w:val="20"/>
            </w:rPr>
          </w:pPr>
        </w:p>
        <w:p w:rsidR="00880E9B" w:rsidRDefault="00A2431D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Pagina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 w:rsidR="00330C97">
            <w:rPr>
              <w:sz w:val="20"/>
              <w:szCs w:val="20"/>
            </w:rPr>
            <w:fldChar w:fldCharType="separate"/>
          </w:r>
          <w:r w:rsidR="00330C97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di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 w:rsidR="00330C97">
            <w:rPr>
              <w:sz w:val="20"/>
              <w:szCs w:val="20"/>
            </w:rPr>
            <w:fldChar w:fldCharType="separate"/>
          </w:r>
          <w:r w:rsidR="00330C97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880E9B" w:rsidRDefault="00880E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C97" w:rsidRDefault="00330C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31D" w:rsidRDefault="00A2431D">
      <w:pPr>
        <w:spacing w:after="0" w:line="240" w:lineRule="auto"/>
      </w:pPr>
      <w:r>
        <w:separator/>
      </w:r>
    </w:p>
  </w:footnote>
  <w:footnote w:type="continuationSeparator" w:id="0">
    <w:p w:rsidR="00A2431D" w:rsidRDefault="00A2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C97" w:rsidRDefault="00330C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E9B" w:rsidRDefault="00330C97" w:rsidP="00330C9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right"/>
      <w:rPr>
        <w:sz w:val="24"/>
        <w:szCs w:val="24"/>
      </w:rPr>
    </w:pPr>
    <w:bookmarkStart w:id="8" w:name="_GoBack"/>
    <w:r>
      <w:rPr>
        <w:noProof/>
      </w:rPr>
      <w:drawing>
        <wp:inline distT="0" distB="0" distL="0" distR="0" wp14:anchorId="183A9551" wp14:editId="1A7EFC53">
          <wp:extent cx="2157285" cy="7239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597" cy="75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tbl>
    <w:tblPr>
      <w:tblStyle w:val="a0"/>
      <w:tblW w:w="9639" w:type="dxa"/>
      <w:jc w:val="center"/>
      <w:tblInd w:w="0" w:type="dxa"/>
      <w:tblBorders>
        <w:bottom w:val="single" w:sz="8" w:space="0" w:color="808080"/>
      </w:tblBorders>
      <w:tblLayout w:type="fixed"/>
      <w:tblLook w:val="0000" w:firstRow="0" w:lastRow="0" w:firstColumn="0" w:lastColumn="0" w:noHBand="0" w:noVBand="0"/>
    </w:tblPr>
    <w:tblGrid>
      <w:gridCol w:w="4509"/>
      <w:gridCol w:w="5130"/>
    </w:tblGrid>
    <w:tr w:rsidR="00880E9B">
      <w:trPr>
        <w:trHeight w:val="700"/>
        <w:jc w:val="center"/>
      </w:trPr>
      <w:tc>
        <w:tcPr>
          <w:tcW w:w="4509" w:type="dxa"/>
          <w:tcBorders>
            <w:bottom w:val="single" w:sz="8" w:space="0" w:color="808080"/>
          </w:tcBorders>
        </w:tcPr>
        <w:p w:rsidR="00880E9B" w:rsidRDefault="00880E9B">
          <w:pPr>
            <w:rPr>
              <w:b/>
              <w:sz w:val="32"/>
              <w:szCs w:val="32"/>
            </w:rPr>
          </w:pPr>
        </w:p>
      </w:tc>
      <w:tc>
        <w:tcPr>
          <w:tcW w:w="5130" w:type="dxa"/>
          <w:tcBorders>
            <w:bottom w:val="single" w:sz="8" w:space="0" w:color="808080"/>
          </w:tcBorders>
        </w:tcPr>
        <w:p w:rsidR="00880E9B" w:rsidRDefault="00A2431D">
          <w:r>
            <w:t xml:space="preserve">               </w:t>
          </w:r>
          <w:r>
            <w:t xml:space="preserve">                              </w:t>
          </w:r>
        </w:p>
      </w:tc>
    </w:tr>
  </w:tbl>
  <w:p w:rsidR="00880E9B" w:rsidRDefault="00880E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C97" w:rsidRDefault="00330C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34B9"/>
    <w:multiLevelType w:val="multilevel"/>
    <w:tmpl w:val="CAE44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EE77D3"/>
    <w:multiLevelType w:val="multilevel"/>
    <w:tmpl w:val="6284C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BB24C8"/>
    <w:multiLevelType w:val="multilevel"/>
    <w:tmpl w:val="A85418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A250A6"/>
    <w:multiLevelType w:val="multilevel"/>
    <w:tmpl w:val="496654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DD41417"/>
    <w:multiLevelType w:val="multilevel"/>
    <w:tmpl w:val="D488F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9B"/>
    <w:rsid w:val="00330C97"/>
    <w:rsid w:val="00880E9B"/>
    <w:rsid w:val="00A2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E6C279-94B6-4362-9762-DC03A1F6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1"/>
        <w:szCs w:val="21"/>
        <w:lang w:val="it-IT" w:eastAsia="it-IT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160" w:after="40" w:line="240" w:lineRule="auto"/>
      <w:ind w:left="1440" w:hanging="36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160" w:after="0" w:line="240" w:lineRule="auto"/>
      <w:ind w:left="2160" w:hanging="360"/>
      <w:outlineLvl w:val="2"/>
    </w:pPr>
    <w:rPr>
      <w:color w:val="2F5496"/>
      <w:sz w:val="32"/>
      <w:szCs w:val="3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0"/>
      <w:ind w:left="2880" w:hanging="360"/>
      <w:outlineLvl w:val="3"/>
    </w:pPr>
    <w:rPr>
      <w:i/>
      <w:sz w:val="30"/>
      <w:szCs w:val="3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40" w:after="0"/>
      <w:ind w:left="3600" w:hanging="360"/>
      <w:outlineLvl w:val="4"/>
    </w:pPr>
    <w:rPr>
      <w:sz w:val="28"/>
      <w:szCs w:val="2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ind w:left="4320" w:hanging="360"/>
      <w:outlineLvl w:val="5"/>
    </w:pPr>
    <w:rPr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30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C97"/>
  </w:style>
  <w:style w:type="paragraph" w:styleId="Pidipagina">
    <w:name w:val="footer"/>
    <w:basedOn w:val="Normale"/>
    <w:link w:val="PidipaginaCarattere"/>
    <w:uiPriority w:val="99"/>
    <w:unhideWhenUsed/>
    <w:rsid w:val="00330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1158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Generali Livio</cp:lastModifiedBy>
  <cp:revision>2</cp:revision>
  <dcterms:created xsi:type="dcterms:W3CDTF">2023-10-03T10:44:00Z</dcterms:created>
  <dcterms:modified xsi:type="dcterms:W3CDTF">2023-10-03T10:45:00Z</dcterms:modified>
</cp:coreProperties>
</file>