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12" w:rsidRDefault="00155912"/>
    <w:p w:rsidR="00155912" w:rsidRDefault="00942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ARGOMENTI ESAME UAS OPEN A2</w:t>
      </w:r>
    </w:p>
    <w:p w:rsidR="00155912" w:rsidRDefault="0094200E">
      <w:pPr>
        <w:jc w:val="both"/>
      </w:pPr>
      <w:r>
        <w:t>In base all’AMC1 UAS.OPEN. 030(2)(c), gli argomenti su cui verte l’esame per la categoria OPEN A2 sono strutturati affinché il pilota remoto dimostri:</w:t>
      </w:r>
    </w:p>
    <w:p w:rsidR="00155912" w:rsidRDefault="009420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>
        <w:rPr>
          <w:color w:val="000000"/>
        </w:rPr>
        <w:t>Comprensione dei rischi per la sicurezza collegati alle operazioni di UAS in prossimità ravvicinata di persone non coinvolte o con UAS di peso maggiore;</w:t>
      </w:r>
    </w:p>
    <w:p w:rsidR="00155912" w:rsidRDefault="009420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>
        <w:rPr>
          <w:color w:val="000000"/>
        </w:rPr>
        <w:t>Capacità di valutare il rischio a terra collegato all’ambiente in cui avviene l’operazione, così come al volo in prossimità ravvicinata di persone non coinvolte;</w:t>
      </w:r>
    </w:p>
    <w:p w:rsidR="00155912" w:rsidRDefault="009420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>
        <w:rPr>
          <w:color w:val="000000"/>
        </w:rPr>
        <w:t>Conoscenza basica di come pianificare un volo e definire procedure di contingenza;</w:t>
      </w:r>
    </w:p>
    <w:p w:rsidR="00155912" w:rsidRDefault="009420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  <w:r>
        <w:rPr>
          <w:color w:val="000000"/>
        </w:rPr>
        <w:t xml:space="preserve">Conoscenza del modo in </w:t>
      </w:r>
      <w:proofErr w:type="gramStart"/>
      <w:r>
        <w:rPr>
          <w:color w:val="000000"/>
        </w:rPr>
        <w:t>cui  le</w:t>
      </w:r>
      <w:proofErr w:type="gramEnd"/>
      <w:r>
        <w:rPr>
          <w:color w:val="000000"/>
        </w:rPr>
        <w:t xml:space="preserve"> condizioni meteorologiche possono inficiare le performance degli UAS.</w:t>
      </w:r>
    </w:p>
    <w:p w:rsidR="00155912" w:rsidRDefault="0094200E">
      <w:pPr>
        <w:jc w:val="both"/>
      </w:pPr>
      <w:r>
        <w:t xml:space="preserve">Per raggiungere questi obiettivi è necessario che il pilota remoto abbia appreso concetti e nozioni di base, che vengono, successivamente, messi in relazione ai rischi specifici e alla pianificazione, preparazione ed esecuzione della missione. Alcuni di questi concetti riprendono i concetti basici che il pilota remoto deve già avere nel suo bagaglio culturale a seguito dell’acquisizione dell’attestato A1/A3. </w:t>
      </w:r>
    </w:p>
    <w:p w:rsidR="00155912" w:rsidRDefault="0094200E">
      <w:pPr>
        <w:jc w:val="both"/>
      </w:pPr>
      <w:r>
        <w:t>Per la preparazione sulla sottocategoria A2 l’utente deve fare riferimento alla pubblicazione EASA “</w:t>
      </w:r>
      <w:r>
        <w:rPr>
          <w:b/>
        </w:rPr>
        <w:t xml:space="preserve">Easy Access Rules for </w:t>
      </w:r>
      <w:proofErr w:type="spellStart"/>
      <w:r>
        <w:rPr>
          <w:b/>
        </w:rPr>
        <w:t>Unmanned</w:t>
      </w:r>
      <w:proofErr w:type="spellEnd"/>
      <w:r>
        <w:rPr>
          <w:b/>
        </w:rPr>
        <w:t xml:space="preserve"> Aircraft Systems (</w:t>
      </w:r>
      <w:proofErr w:type="spellStart"/>
      <w:r>
        <w:rPr>
          <w:b/>
        </w:rPr>
        <w:t>Regulations</w:t>
      </w:r>
      <w:proofErr w:type="spellEnd"/>
      <w:r>
        <w:rPr>
          <w:b/>
        </w:rPr>
        <w:t xml:space="preserve"> (EU) 2019/947 and (EU) 2019/945)</w:t>
      </w:r>
      <w:r>
        <w:t>”, scaricabile dal sito internet di EASA. Per l’acquisizione delle competenze necessarie, l’utente può fare riferimento alle modalità previste da “</w:t>
      </w:r>
      <w:r>
        <w:rPr>
          <w:b/>
        </w:rPr>
        <w:t xml:space="preserve">GM1 UAS.OPEN.030(2)(c) UAS operations in </w:t>
      </w:r>
      <w:proofErr w:type="spellStart"/>
      <w:r>
        <w:rPr>
          <w:b/>
        </w:rPr>
        <w:t>subcategory</w:t>
      </w:r>
      <w:proofErr w:type="spellEnd"/>
      <w:r>
        <w:rPr>
          <w:b/>
        </w:rPr>
        <w:t xml:space="preserve"> A2” </w:t>
      </w:r>
      <w:r>
        <w:t>della predetta pubblicazione.</w:t>
      </w:r>
    </w:p>
    <w:p w:rsidR="00155912" w:rsidRDefault="0094200E">
      <w:pPr>
        <w:jc w:val="both"/>
      </w:pPr>
      <w:r>
        <w:t xml:space="preserve">Il livello di difficoltà delle domande per l’esame OPEN A2 è superiore a quello previsto per l’esame OPEN A1/A3, in relazione al relativo incremento del rischio a terra previsto nelle operazioni. </w:t>
      </w:r>
    </w:p>
    <w:p w:rsidR="00155912" w:rsidRDefault="0094200E">
      <w:pPr>
        <w:jc w:val="both"/>
      </w:pPr>
      <w:r>
        <w:t xml:space="preserve">Al fine di facilitare l’utenza nella preparazione teorica dell’esame OPEN A2, di seguito viene riprodotta una tabella </w:t>
      </w:r>
      <w:r>
        <w:rPr>
          <w:u w:val="single"/>
        </w:rPr>
        <w:t>non esaustiva</w:t>
      </w:r>
      <w:r>
        <w:t xml:space="preserve">, contenente gli argomenti previsti da </w:t>
      </w:r>
      <w:r>
        <w:rPr>
          <w:b/>
        </w:rPr>
        <w:t xml:space="preserve">AMC1 UAS.OPEN.030(2)(c), </w:t>
      </w:r>
      <w:r>
        <w:t>in lingua italiana, e un loro ulteriore livello di dettaglio, su cui verterà la prova d’esame.</w:t>
      </w:r>
    </w:p>
    <w:p w:rsidR="00155912" w:rsidRDefault="00155912"/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2"/>
        <w:gridCol w:w="3042"/>
        <w:gridCol w:w="3454"/>
      </w:tblGrid>
      <w:tr w:rsidR="00155912">
        <w:tc>
          <w:tcPr>
            <w:tcW w:w="3132" w:type="dxa"/>
          </w:tcPr>
          <w:p w:rsidR="00155912" w:rsidRDefault="0094200E">
            <w:pPr>
              <w:jc w:val="center"/>
            </w:pPr>
            <w:r>
              <w:t>MATERIA</w:t>
            </w:r>
          </w:p>
        </w:tc>
        <w:tc>
          <w:tcPr>
            <w:tcW w:w="3042" w:type="dxa"/>
          </w:tcPr>
          <w:p w:rsidR="00155912" w:rsidRDefault="0094200E">
            <w:pPr>
              <w:jc w:val="center"/>
            </w:pPr>
            <w:r>
              <w:t xml:space="preserve">ARGOMENTI SPECIFICI RELATIVI ALLA MATERIA: </w:t>
            </w:r>
          </w:p>
          <w:p w:rsidR="00155912" w:rsidRDefault="0094200E">
            <w:pPr>
              <w:jc w:val="center"/>
            </w:pPr>
            <w:r>
              <w:rPr>
                <w:b/>
              </w:rPr>
              <w:t>AMC1 UAS.OPEN.030(2)(c)</w:t>
            </w:r>
          </w:p>
        </w:tc>
        <w:tc>
          <w:tcPr>
            <w:tcW w:w="3454" w:type="dxa"/>
          </w:tcPr>
          <w:p w:rsidR="00155912" w:rsidRDefault="0094200E">
            <w:pPr>
              <w:jc w:val="center"/>
            </w:pPr>
            <w:r>
              <w:t>ARGOMENTI DI DETTAGLIO COLLEGATI</w:t>
            </w:r>
          </w:p>
        </w:tc>
      </w:tr>
      <w:tr w:rsidR="00155912">
        <w:tc>
          <w:tcPr>
            <w:tcW w:w="3132" w:type="dxa"/>
          </w:tcPr>
          <w:p w:rsidR="00155912" w:rsidRDefault="009420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METEOROLOGY</w:t>
            </w:r>
          </w:p>
        </w:tc>
        <w:tc>
          <w:tcPr>
            <w:tcW w:w="3042" w:type="dxa"/>
          </w:tcPr>
          <w:p w:rsidR="00155912" w:rsidRDefault="00155912"/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>Concetti generali di meteorologia</w:t>
            </w:r>
          </w:p>
          <w:p w:rsidR="00155912" w:rsidRDefault="0094200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>Le grandezze fisiche presenti in meteorologia e come si misurano</w:t>
            </w:r>
          </w:p>
          <w:p w:rsidR="00155912" w:rsidRDefault="0094200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>L’atmosfera, i suoi strati e la variazione delle grandezze fisiche con la quota</w:t>
            </w:r>
          </w:p>
          <w:p w:rsidR="00155912" w:rsidRDefault="0094200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 xml:space="preserve">Interdipendenza delle grandezze fisiche </w:t>
            </w:r>
            <w:r>
              <w:rPr>
                <w:color w:val="000000"/>
              </w:rPr>
              <w:lastRenderedPageBreak/>
              <w:t>(temperatura, densità, pressione)</w:t>
            </w:r>
          </w:p>
          <w:p w:rsidR="00155912" w:rsidRDefault="0094200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>Le masse d’aria</w:t>
            </w:r>
          </w:p>
          <w:p w:rsidR="00155912" w:rsidRDefault="0094200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>Comportamenti da tenere in presenza di fenomeni meteorologici</w:t>
            </w:r>
          </w:p>
          <w:p w:rsidR="00155912" w:rsidRDefault="00155912"/>
        </w:tc>
      </w:tr>
      <w:tr w:rsidR="00155912">
        <w:tc>
          <w:tcPr>
            <w:tcW w:w="3132" w:type="dxa"/>
          </w:tcPr>
          <w:p w:rsidR="00155912" w:rsidRDefault="00155912"/>
        </w:tc>
        <w:tc>
          <w:tcPr>
            <w:tcW w:w="3042" w:type="dxa"/>
          </w:tcPr>
          <w:p w:rsidR="00155912" w:rsidRDefault="0094200E">
            <w:r>
              <w:t>Effetto delle condizioni meteorologiche sul UA</w:t>
            </w:r>
          </w:p>
          <w:p w:rsidR="00155912" w:rsidRDefault="009420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Vento (effetto aree urbane, turbolenza)</w:t>
            </w:r>
          </w:p>
          <w:p w:rsidR="00155912" w:rsidRDefault="009420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Temperatura</w:t>
            </w:r>
          </w:p>
          <w:p w:rsidR="00155912" w:rsidRDefault="009420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Visibilità</w:t>
            </w:r>
          </w:p>
          <w:p w:rsidR="00155912" w:rsidRDefault="0094200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La densità dell’aria</w:t>
            </w:r>
          </w:p>
          <w:p w:rsidR="00155912" w:rsidRDefault="00155912"/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>Conoscenza dei fenomeni meteorologici e comprensione degli effetti sull’UAS</w:t>
            </w:r>
          </w:p>
          <w:p w:rsidR="00155912" w:rsidRDefault="009420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venti</w:t>
            </w:r>
            <w:r>
              <w:rPr>
                <w:color w:val="000000"/>
              </w:rPr>
              <w:t xml:space="preserve">, la turbolenza, le brezze, i cumulonembi, </w:t>
            </w:r>
            <w:proofErr w:type="spellStart"/>
            <w:r>
              <w:rPr>
                <w:color w:val="000000"/>
              </w:rPr>
              <w:t>windshear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microburst</w:t>
            </w:r>
            <w:proofErr w:type="spellEnd"/>
            <w:r>
              <w:rPr>
                <w:color w:val="000000"/>
              </w:rPr>
              <w:t xml:space="preserve">: comprensione del fenomeno e possibili </w:t>
            </w:r>
            <w:r>
              <w:rPr>
                <w:b/>
                <w:color w:val="000000"/>
              </w:rPr>
              <w:t>effetti sull’UAS</w:t>
            </w:r>
          </w:p>
          <w:p w:rsidR="00155912" w:rsidRDefault="009420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Effetti della temperatura</w:t>
            </w:r>
            <w:r>
              <w:rPr>
                <w:color w:val="000000"/>
              </w:rPr>
              <w:t xml:space="preserve">, e dei possibili fenomeni associati (ghiaccio, temperatura di rugiada, correnti convettive,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  <w:r>
              <w:rPr>
                <w:color w:val="000000"/>
              </w:rPr>
              <w:t xml:space="preserve">) </w:t>
            </w:r>
            <w:r>
              <w:rPr>
                <w:b/>
                <w:color w:val="000000"/>
              </w:rPr>
              <w:t>sull’UAS</w:t>
            </w:r>
          </w:p>
          <w:p w:rsidR="00155912" w:rsidRDefault="009420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 xml:space="preserve">Effetti della </w:t>
            </w:r>
            <w:r>
              <w:rPr>
                <w:b/>
                <w:color w:val="000000"/>
              </w:rPr>
              <w:t>densità</w:t>
            </w:r>
            <w:r>
              <w:rPr>
                <w:color w:val="000000"/>
              </w:rPr>
              <w:t xml:space="preserve"> sulle </w:t>
            </w:r>
            <w:r>
              <w:rPr>
                <w:b/>
                <w:color w:val="000000"/>
              </w:rPr>
              <w:t>performance dell’UAS</w:t>
            </w:r>
          </w:p>
          <w:p w:rsidR="00155912" w:rsidRDefault="009420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 xml:space="preserve">I fenomeni che impattano sulla </w:t>
            </w:r>
            <w:r>
              <w:rPr>
                <w:b/>
                <w:color w:val="000000"/>
              </w:rPr>
              <w:t>visibilità</w:t>
            </w:r>
            <w:r>
              <w:rPr>
                <w:color w:val="000000"/>
              </w:rPr>
              <w:t xml:space="preserve"> (nebbia, foschia, pioggia, la cenere vulcanica) e possibili </w:t>
            </w:r>
            <w:r>
              <w:rPr>
                <w:b/>
                <w:color w:val="000000"/>
              </w:rPr>
              <w:t>effetti sull’UAS e sulla sua condotta</w:t>
            </w:r>
          </w:p>
        </w:tc>
      </w:tr>
      <w:tr w:rsidR="00155912">
        <w:tc>
          <w:tcPr>
            <w:tcW w:w="3132" w:type="dxa"/>
          </w:tcPr>
          <w:p w:rsidR="00155912" w:rsidRDefault="00155912"/>
        </w:tc>
        <w:tc>
          <w:tcPr>
            <w:tcW w:w="3042" w:type="dxa"/>
          </w:tcPr>
          <w:p w:rsidR="00155912" w:rsidRDefault="0094200E">
            <w:r>
              <w:t>Ottenere informazioni meteorologiche</w:t>
            </w:r>
          </w:p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 xml:space="preserve">Concetti generali (la copertura nuvolosa, il </w:t>
            </w:r>
            <w:proofErr w:type="spellStart"/>
            <w:r>
              <w:rPr>
                <w:color w:val="000000"/>
              </w:rPr>
              <w:t>ceiling</w:t>
            </w:r>
            <w:proofErr w:type="spellEnd"/>
            <w:r>
              <w:rPr>
                <w:color w:val="000000"/>
              </w:rPr>
              <w:t xml:space="preserve">, il termine CAVOK) </w:t>
            </w:r>
          </w:p>
          <w:p w:rsidR="00155912" w:rsidRDefault="009420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>Dove è possibile reperire informazioni meteorologiche</w:t>
            </w:r>
          </w:p>
          <w:p w:rsidR="00155912" w:rsidRDefault="009420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>Validità, decodifica e interpretazione dei bollettini meteorologici aeronautici (METAR, TAF, SIGMET, AIRMET)</w:t>
            </w:r>
          </w:p>
          <w:p w:rsidR="00155912" w:rsidRDefault="009420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 xml:space="preserve">il </w:t>
            </w:r>
            <w:proofErr w:type="spellStart"/>
            <w:r>
              <w:rPr>
                <w:color w:val="000000"/>
              </w:rPr>
              <w:t>nowcasting</w:t>
            </w:r>
            <w:proofErr w:type="spellEnd"/>
          </w:p>
          <w:p w:rsidR="00155912" w:rsidRDefault="009420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>l’attività solare</w:t>
            </w:r>
          </w:p>
          <w:p w:rsidR="00155912" w:rsidRDefault="009420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t>le carte Meteorologiche e la loro lettura.</w:t>
            </w:r>
          </w:p>
          <w:p w:rsidR="00155912" w:rsidRDefault="009420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</w:pPr>
            <w:r>
              <w:rPr>
                <w:color w:val="000000"/>
              </w:rPr>
              <w:lastRenderedPageBreak/>
              <w:t>Cicloni, anticicloni, promontori, fronti freddi e caldi, fenomeni associati</w:t>
            </w:r>
          </w:p>
        </w:tc>
      </w:tr>
      <w:tr w:rsidR="00155912">
        <w:tc>
          <w:tcPr>
            <w:tcW w:w="3132" w:type="dxa"/>
          </w:tcPr>
          <w:p w:rsidR="00155912" w:rsidRDefault="009420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UAS FLIGHT PERFORMANCE</w:t>
            </w:r>
          </w:p>
        </w:tc>
        <w:tc>
          <w:tcPr>
            <w:tcW w:w="3042" w:type="dxa"/>
          </w:tcPr>
          <w:p w:rsidR="00155912" w:rsidRDefault="00155912"/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Caratteristiche generali di un UA e performance associate (eliche, assi dell’aeromobile, il moto, il volo traslato e sostentato, l’autonomia, la spinta, l’effetto suolo)</w:t>
            </w:r>
          </w:p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come generare un movimento</w:t>
            </w:r>
          </w:p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La stabilità: definizione e caratteristiche</w:t>
            </w:r>
          </w:p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I fenomeni aerodinamici che inficiano le prestazioni</w:t>
            </w:r>
          </w:p>
        </w:tc>
      </w:tr>
      <w:tr w:rsidR="00155912">
        <w:tc>
          <w:tcPr>
            <w:tcW w:w="3132" w:type="dxa"/>
          </w:tcPr>
          <w:p w:rsidR="00155912" w:rsidRDefault="00155912"/>
        </w:tc>
        <w:tc>
          <w:tcPr>
            <w:tcW w:w="3042" w:type="dxa"/>
          </w:tcPr>
          <w:p w:rsidR="00155912" w:rsidRDefault="0094200E">
            <w:r>
              <w:t xml:space="preserve">il tipico inviluppo di volo per un </w:t>
            </w:r>
            <w:proofErr w:type="spellStart"/>
            <w:r>
              <w:t>uas</w:t>
            </w:r>
            <w:proofErr w:type="spellEnd"/>
            <w:r>
              <w:t xml:space="preserve"> ad ala rotante (o </w:t>
            </w:r>
            <w:proofErr w:type="spellStart"/>
            <w:r>
              <w:t>multicottero</w:t>
            </w:r>
            <w:proofErr w:type="spellEnd"/>
            <w:r>
              <w:t xml:space="preserve">), per </w:t>
            </w:r>
            <w:proofErr w:type="gramStart"/>
            <w:r>
              <w:t>un ala</w:t>
            </w:r>
            <w:proofErr w:type="gramEnd"/>
            <w:r>
              <w:t xml:space="preserve"> fissa e per un UA a configurazione ibrida</w:t>
            </w:r>
          </w:p>
          <w:p w:rsidR="00155912" w:rsidRDefault="00155912"/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definizioni</w:t>
            </w:r>
          </w:p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Il diagramma di manovra e il diagramma di raffica</w:t>
            </w:r>
          </w:p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Il fattore di carico</w:t>
            </w:r>
          </w:p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Lo stallo e il G-stallo</w:t>
            </w:r>
          </w:p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La variazione dell’inviluppo di volo con la quota</w:t>
            </w:r>
          </w:p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Limiti dell’inviluppo di volo</w:t>
            </w:r>
          </w:p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Sistemi elettronici che aiutano a mantenere gli UA all’interno dell’Inviluppo di volo</w:t>
            </w:r>
          </w:p>
          <w:p w:rsidR="00155912" w:rsidRDefault="009420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 xml:space="preserve">Conseguenze del volo al di fuori dell’inviluppo </w:t>
            </w:r>
          </w:p>
        </w:tc>
      </w:tr>
      <w:tr w:rsidR="00155912">
        <w:tc>
          <w:tcPr>
            <w:tcW w:w="3132" w:type="dxa"/>
          </w:tcPr>
          <w:p w:rsidR="00155912" w:rsidRDefault="00155912"/>
        </w:tc>
        <w:tc>
          <w:tcPr>
            <w:tcW w:w="3042" w:type="dxa"/>
          </w:tcPr>
          <w:p w:rsidR="00155912" w:rsidRDefault="0094200E">
            <w:r>
              <w:t>Massa, bilanciamento e Centro di Gravità</w:t>
            </w:r>
          </w:p>
          <w:p w:rsidR="00155912" w:rsidRDefault="009420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Considerare il bilanciamento complessivo quando si attaccano “</w:t>
            </w:r>
            <w:proofErr w:type="spellStart"/>
            <w:r>
              <w:rPr>
                <w:color w:val="000000"/>
              </w:rPr>
              <w:t>gimbals</w:t>
            </w:r>
            <w:proofErr w:type="spellEnd"/>
            <w:r>
              <w:rPr>
                <w:color w:val="000000"/>
              </w:rPr>
              <w:t>” e “</w:t>
            </w:r>
            <w:proofErr w:type="spellStart"/>
            <w:r>
              <w:rPr>
                <w:color w:val="000000"/>
              </w:rPr>
              <w:t>payloads</w:t>
            </w:r>
            <w:proofErr w:type="spellEnd"/>
            <w:r>
              <w:rPr>
                <w:color w:val="000000"/>
              </w:rPr>
              <w:t>”</w:t>
            </w:r>
          </w:p>
          <w:p w:rsidR="00155912" w:rsidRDefault="009420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Comprendere che i </w:t>
            </w:r>
            <w:proofErr w:type="spellStart"/>
            <w:r>
              <w:rPr>
                <w:color w:val="000000"/>
              </w:rPr>
              <w:t>payloads</w:t>
            </w:r>
            <w:proofErr w:type="spellEnd"/>
            <w:r>
              <w:rPr>
                <w:color w:val="000000"/>
              </w:rPr>
              <w:t xml:space="preserve"> possono avere differenti caratteristiche che comportano una diversa stabilità in volo; e</w:t>
            </w:r>
          </w:p>
          <w:p w:rsidR="00155912" w:rsidRDefault="009420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lastRenderedPageBreak/>
              <w:t>Comprendere che ogni tipo di UA ha un differente CG</w:t>
            </w:r>
          </w:p>
          <w:p w:rsidR="00155912" w:rsidRDefault="00155912"/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lastRenderedPageBreak/>
              <w:t xml:space="preserve">MTOM, Massa Operativa al Decollo (c.d. peso al decollo), Centro di Gravità, Payload: definizione, caratteristiche e dove reperire i dati </w:t>
            </w:r>
          </w:p>
          <w:p w:rsidR="00155912" w:rsidRDefault="009420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Variazione delle performance al variare della MTOM</w:t>
            </w:r>
          </w:p>
          <w:p w:rsidR="00155912" w:rsidRDefault="009420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Variazione della MOD al variare del Payload</w:t>
            </w:r>
          </w:p>
          <w:p w:rsidR="00155912" w:rsidRDefault="009420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Individuare il posizionamento del CG e verificare il bilanciamento del UA</w:t>
            </w:r>
          </w:p>
          <w:p w:rsidR="00155912" w:rsidRDefault="009420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lastRenderedPageBreak/>
              <w:t>Effetti del Payload sul CG, sulla MTOM, sulla MOD e sulla stabilità</w:t>
            </w:r>
          </w:p>
          <w:p w:rsidR="00155912" w:rsidRDefault="009420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Effetto del Payload sulle performance</w:t>
            </w:r>
          </w:p>
          <w:p w:rsidR="00155912" w:rsidRDefault="009420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Tipi di Payload, caratteristiche e posizionamento</w:t>
            </w:r>
          </w:p>
          <w:p w:rsidR="00155912" w:rsidRDefault="00155912" w:rsidP="00270384"/>
        </w:tc>
      </w:tr>
      <w:tr w:rsidR="00155912">
        <w:tc>
          <w:tcPr>
            <w:tcW w:w="3132" w:type="dxa"/>
          </w:tcPr>
          <w:p w:rsidR="00155912" w:rsidRDefault="00155912"/>
        </w:tc>
        <w:tc>
          <w:tcPr>
            <w:tcW w:w="3042" w:type="dxa"/>
          </w:tcPr>
          <w:p w:rsidR="00155912" w:rsidRDefault="0094200E">
            <w:r>
              <w:t>Assicurare il payload</w:t>
            </w:r>
          </w:p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Dove e come va assicurato il payload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Di cosa bisogna tenere conto nell’assicurarlo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Payload “fissati” e “assicurati”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I carichi sospesi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Rimozione del payload in sicurezza</w:t>
            </w:r>
          </w:p>
        </w:tc>
      </w:tr>
      <w:tr w:rsidR="00155912">
        <w:tc>
          <w:tcPr>
            <w:tcW w:w="3132" w:type="dxa"/>
          </w:tcPr>
          <w:p w:rsidR="00155912" w:rsidRDefault="00155912"/>
        </w:tc>
        <w:tc>
          <w:tcPr>
            <w:tcW w:w="3042" w:type="dxa"/>
          </w:tcPr>
          <w:p w:rsidR="00155912" w:rsidRDefault="0094200E">
            <w:r>
              <w:t>Batterie</w:t>
            </w:r>
          </w:p>
          <w:p w:rsidR="00155912" w:rsidRDefault="009420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Comprendere la sorgente di energia per prevenire potenziali condizioni insicure</w:t>
            </w:r>
          </w:p>
          <w:p w:rsidR="00155912" w:rsidRDefault="009420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Familiarizzare con i diversi tipi di batterie esistenti</w:t>
            </w:r>
          </w:p>
          <w:p w:rsidR="00155912" w:rsidRDefault="009420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Comprendere la terminologia utilizzata per le batterie (ad </w:t>
            </w:r>
            <w:proofErr w:type="spellStart"/>
            <w:r>
              <w:rPr>
                <w:color w:val="000000"/>
              </w:rPr>
              <w:t>es</w:t>
            </w:r>
            <w:proofErr w:type="spellEnd"/>
            <w:r>
              <w:rPr>
                <w:color w:val="000000"/>
              </w:rPr>
              <w:t>: effetto memoria, capacità, C-</w:t>
            </w:r>
            <w:proofErr w:type="gramStart"/>
            <w:r>
              <w:rPr>
                <w:color w:val="000000"/>
              </w:rPr>
              <w:t>rate )</w:t>
            </w:r>
            <w:proofErr w:type="gramEnd"/>
            <w:r>
              <w:rPr>
                <w:color w:val="000000"/>
              </w:rPr>
              <w:t>; e</w:t>
            </w:r>
          </w:p>
          <w:p w:rsidR="00155912" w:rsidRDefault="009420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Comprendere come funziona una batteria (ad </w:t>
            </w:r>
            <w:proofErr w:type="spellStart"/>
            <w:r>
              <w:rPr>
                <w:color w:val="000000"/>
              </w:rPr>
              <w:t>es</w:t>
            </w:r>
            <w:proofErr w:type="spellEnd"/>
            <w:r>
              <w:rPr>
                <w:color w:val="000000"/>
              </w:rPr>
              <w:t>: la ricarica, l’utilizzo, i pericoli, la conservazione)</w:t>
            </w:r>
          </w:p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Le unità di misura della batteria (tensione, capacità)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 xml:space="preserve">Tipi di batterie più frequenti negli </w:t>
            </w:r>
            <w:proofErr w:type="spellStart"/>
            <w:r>
              <w:rPr>
                <w:color w:val="000000"/>
              </w:rPr>
              <w:t>uas</w:t>
            </w:r>
            <w:proofErr w:type="spellEnd"/>
            <w:r>
              <w:rPr>
                <w:color w:val="000000"/>
              </w:rPr>
              <w:t xml:space="preserve"> e loro caratteristiche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Interpretare le caratteristiche della batteria in funzione della loro sigla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Differenze tra i diversi tipi di batteria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Come utilizzare e conservare una batteria correttamente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Cicli di ricarica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I caricabatterie e le loro caratteristiche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Le Batterie Ibride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Il Collegamento In Serie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Le temperature di utilizzo e l’effetto della temperatura sulla batteria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Gli indicatori di batteria con problemi o danneggiata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Precauzioni nel trasporto batterie e nel caso di avaria all’UA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lastRenderedPageBreak/>
              <w:t>Il livello di carica, l’efficienza e il danneggiamento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Pericoli/Rischi associati alle batterie e norme di comportamento</w:t>
            </w:r>
          </w:p>
          <w:p w:rsidR="00155912" w:rsidRDefault="00155912">
            <w:pPr>
              <w:ind w:left="425" w:hanging="335"/>
            </w:pPr>
          </w:p>
        </w:tc>
      </w:tr>
      <w:tr w:rsidR="00155912">
        <w:tc>
          <w:tcPr>
            <w:tcW w:w="3132" w:type="dxa"/>
          </w:tcPr>
          <w:p w:rsidR="00155912" w:rsidRDefault="009420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TECHNICAL AND OPERATIONAL MITIGATIONS FOR GROUND RISK</w:t>
            </w:r>
          </w:p>
        </w:tc>
        <w:tc>
          <w:tcPr>
            <w:tcW w:w="3042" w:type="dxa"/>
          </w:tcPr>
          <w:p w:rsidR="00155912" w:rsidRDefault="00155912"/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Definizione di “</w:t>
            </w:r>
            <w:proofErr w:type="spellStart"/>
            <w:r>
              <w:rPr>
                <w:color w:val="000000"/>
              </w:rPr>
              <w:t>ground</w:t>
            </w:r>
            <w:proofErr w:type="spellEnd"/>
            <w:r>
              <w:rPr>
                <w:color w:val="000000"/>
              </w:rPr>
              <w:t xml:space="preserve"> Risk”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Individuazione, valutazione e mitigazione dei rischi in fase di pianificazione, preparazione/predisposizione ed esecuzione del volo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 xml:space="preserve">Sistemi dell’UA finalizzati alla mitigazione tecnica del Rischio a Terra (terminatore, </w:t>
            </w:r>
            <w:proofErr w:type="spellStart"/>
            <w:r>
              <w:rPr>
                <w:color w:val="000000"/>
              </w:rPr>
              <w:t>geofencing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paraeliche</w:t>
            </w:r>
            <w:proofErr w:type="spellEnd"/>
            <w:r>
              <w:rPr>
                <w:color w:val="000000"/>
              </w:rPr>
              <w:t xml:space="preserve">, luci notturne, sensori, </w:t>
            </w:r>
            <w:proofErr w:type="spellStart"/>
            <w:r>
              <w:rPr>
                <w:color w:val="000000"/>
              </w:rPr>
              <w:t>ecc</w:t>
            </w:r>
            <w:proofErr w:type="spellEnd"/>
            <w:r>
              <w:rPr>
                <w:color w:val="000000"/>
              </w:rPr>
              <w:t>)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 xml:space="preserve">I fattori e gli elementi che aumentano o diminuiscono il rischio a terra (payload, energia all’impatto, condizioni meteorologiche, emissioni elettromagnetiche </w:t>
            </w:r>
            <w:proofErr w:type="spellStart"/>
            <w:r>
              <w:rPr>
                <w:color w:val="000000"/>
              </w:rPr>
              <w:t>ecc</w:t>
            </w:r>
            <w:proofErr w:type="spellEnd"/>
            <w:r>
              <w:rPr>
                <w:color w:val="000000"/>
              </w:rPr>
              <w:t>)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Responsabilità del pilota nella valutazione e mitigazione del rischio a terra: le mitigazioni operative utilizzabili e l’analisi dell’area delle operazioni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Comportamenti da tenere per mantenere basso il rischio a terra, sia in condizioni di volo normali   che in situazioni inaspettate o di contingenza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Limitazioni previste per la categoria OPEN A2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t>area a terra controllata (</w:t>
            </w:r>
            <w:proofErr w:type="spellStart"/>
            <w:r>
              <w:rPr>
                <w:color w:val="000000"/>
              </w:rPr>
              <w:t>controlled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ground</w:t>
            </w:r>
            <w:proofErr w:type="spellEnd"/>
            <w:r>
              <w:rPr>
                <w:color w:val="000000"/>
              </w:rPr>
              <w:t xml:space="preserve"> area)</w:t>
            </w:r>
          </w:p>
          <w:p w:rsidR="00155912" w:rsidRDefault="009420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35"/>
            </w:pPr>
            <w:r>
              <w:rPr>
                <w:color w:val="000000"/>
              </w:rPr>
              <w:lastRenderedPageBreak/>
              <w:t>operazioni da mezzi in movimento (veicoli, imbarcazioni)</w:t>
            </w:r>
          </w:p>
          <w:p w:rsidR="00155912" w:rsidRDefault="001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color w:val="000000"/>
              </w:rPr>
            </w:pPr>
          </w:p>
        </w:tc>
      </w:tr>
      <w:tr w:rsidR="00155912">
        <w:tc>
          <w:tcPr>
            <w:tcW w:w="3132" w:type="dxa"/>
          </w:tcPr>
          <w:p w:rsidR="00155912" w:rsidRDefault="00155912">
            <w:pPr>
              <w:rPr>
                <w:b/>
                <w:sz w:val="32"/>
                <w:szCs w:val="32"/>
              </w:rPr>
            </w:pPr>
          </w:p>
        </w:tc>
        <w:tc>
          <w:tcPr>
            <w:tcW w:w="3042" w:type="dxa"/>
          </w:tcPr>
          <w:p w:rsidR="00155912" w:rsidRDefault="0094200E">
            <w:r>
              <w:t xml:space="preserve">Funzioni del </w:t>
            </w:r>
            <w:proofErr w:type="gramStart"/>
            <w:r>
              <w:t>UA:  modo</w:t>
            </w:r>
            <w:proofErr w:type="gramEnd"/>
            <w:r>
              <w:t xml:space="preserve"> “bassa velocità”(low speed mode)</w:t>
            </w:r>
          </w:p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  <w:rPr>
                <w:color w:val="000000"/>
              </w:rPr>
            </w:pPr>
            <w:r>
              <w:rPr>
                <w:color w:val="000000"/>
              </w:rPr>
              <w:t>Cos’è il low speed mode</w:t>
            </w:r>
          </w:p>
          <w:p w:rsidR="00155912" w:rsidRDefault="009420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Quando e come utilizzarlo: comportamenti e accortezze</w:t>
            </w:r>
          </w:p>
          <w:p w:rsidR="00155912" w:rsidRDefault="0094200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Distanza dalle persone non coinvolte con o senza low speed mode attivo</w:t>
            </w:r>
          </w:p>
        </w:tc>
      </w:tr>
      <w:tr w:rsidR="00155912">
        <w:tc>
          <w:tcPr>
            <w:tcW w:w="3132" w:type="dxa"/>
          </w:tcPr>
          <w:p w:rsidR="00155912" w:rsidRDefault="00155912">
            <w:pPr>
              <w:rPr>
                <w:b/>
                <w:sz w:val="32"/>
                <w:szCs w:val="32"/>
              </w:rPr>
            </w:pPr>
          </w:p>
        </w:tc>
        <w:tc>
          <w:tcPr>
            <w:tcW w:w="3042" w:type="dxa"/>
          </w:tcPr>
          <w:p w:rsidR="00155912" w:rsidRDefault="0094200E">
            <w:r>
              <w:t>Valutare la distanza dalle persone</w:t>
            </w:r>
          </w:p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Persone coinvolte e non coinvolte in un’operazione con UAS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Come calcolare la distanza dalle persone non coinvolte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Dotazioni e informazioni per le persone coinvolte nelle operazioni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Cosa considerare nella valutazione della distanza dalle persone non coinvolte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A chi si applica la distanza minima e quando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L’utilizzo dell’</w:t>
            </w:r>
            <w:proofErr w:type="spellStart"/>
            <w:r>
              <w:rPr>
                <w:color w:val="000000"/>
              </w:rPr>
              <w:t>observer</w:t>
            </w:r>
            <w:proofErr w:type="spellEnd"/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I voli in FPV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Gli assembramenti di persone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 xml:space="preserve">Responsabilità del pilota 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la distanza dalle persone in ambiente urbano e in presenza di vento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il posizionamento del pilota remoto</w:t>
            </w:r>
          </w:p>
        </w:tc>
      </w:tr>
      <w:tr w:rsidR="00155912">
        <w:tc>
          <w:tcPr>
            <w:tcW w:w="3132" w:type="dxa"/>
          </w:tcPr>
          <w:p w:rsidR="00155912" w:rsidRDefault="00155912">
            <w:pPr>
              <w:rPr>
                <w:b/>
                <w:sz w:val="32"/>
                <w:szCs w:val="32"/>
              </w:rPr>
            </w:pPr>
          </w:p>
        </w:tc>
        <w:tc>
          <w:tcPr>
            <w:tcW w:w="3042" w:type="dxa"/>
          </w:tcPr>
          <w:p w:rsidR="00155912" w:rsidRDefault="0094200E">
            <w:r>
              <w:t>La regola 1:1</w:t>
            </w:r>
          </w:p>
        </w:tc>
        <w:tc>
          <w:tcPr>
            <w:tcW w:w="3454" w:type="dxa"/>
          </w:tcPr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definizione e applicabilità (persone, cose, animali)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 xml:space="preserve">Applicabilità agli UA di classe C2 e agli UA senza certificazione ai sensi del reg (EU) 2019/945 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Identificazione della distanza minima da mantenere in funzione dell’altezza di volo e del UA utilizzato</w:t>
            </w:r>
          </w:p>
          <w:p w:rsidR="00155912" w:rsidRDefault="009420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hanging="283"/>
            </w:pPr>
            <w:r>
              <w:rPr>
                <w:color w:val="000000"/>
              </w:rPr>
              <w:t>Norme di comportamento</w:t>
            </w:r>
          </w:p>
        </w:tc>
      </w:tr>
    </w:tbl>
    <w:p w:rsidR="00155912" w:rsidRDefault="00155912"/>
    <w:sectPr w:rsidR="00155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B3F" w:rsidRDefault="001D5B3F">
      <w:r>
        <w:separator/>
      </w:r>
    </w:p>
  </w:endnote>
  <w:endnote w:type="continuationSeparator" w:id="0">
    <w:p w:rsidR="001D5B3F" w:rsidRDefault="001D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DD" w:rsidRDefault="00E065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DD" w:rsidRDefault="00E065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DD" w:rsidRDefault="00E065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B3F" w:rsidRDefault="001D5B3F">
      <w:r>
        <w:separator/>
      </w:r>
    </w:p>
  </w:footnote>
  <w:footnote w:type="continuationSeparator" w:id="0">
    <w:p w:rsidR="001D5B3F" w:rsidRDefault="001D5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DD" w:rsidRDefault="00E065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912" w:rsidRDefault="0015591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23" w:type="dxa"/>
      <w:tblInd w:w="-147" w:type="dxa"/>
      <w:tblBorders>
        <w:left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17"/>
      <w:gridCol w:w="5621"/>
      <w:gridCol w:w="1759"/>
      <w:gridCol w:w="1426"/>
    </w:tblGrid>
    <w:tr w:rsidR="00155912">
      <w:trPr>
        <w:trHeight w:val="440"/>
      </w:trPr>
      <w:tc>
        <w:tcPr>
          <w:tcW w:w="1117" w:type="dxa"/>
          <w:vMerge w:val="restart"/>
          <w:tcBorders>
            <w:top w:val="single" w:sz="4" w:space="0" w:color="000000"/>
            <w:bottom w:val="single" w:sz="4" w:space="0" w:color="000000"/>
          </w:tcBorders>
        </w:tcPr>
        <w:p w:rsidR="00155912" w:rsidRDefault="00904169">
          <w:pPr>
            <w:pStyle w:val="Titolo2"/>
          </w:pPr>
          <w:r w:rsidRPr="003E6A7E">
            <w:rPr>
              <w:noProof/>
            </w:rPr>
            <w:drawing>
              <wp:inline distT="0" distB="0" distL="0" distR="0" wp14:anchorId="4A3180BC" wp14:editId="68248755">
                <wp:extent cx="657225" cy="10668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320" cy="1066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155912" w:rsidRDefault="001559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316"/>
              <w:tab w:val="right" w:pos="9781"/>
            </w:tabs>
            <w:ind w:left="851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  <w:p w:rsidR="000C2DC6" w:rsidRDefault="0094200E" w:rsidP="000C2DC6">
          <w:pPr>
            <w:widowControl w:val="0"/>
            <w:tabs>
              <w:tab w:val="center" w:pos="5316"/>
              <w:tab w:val="right" w:pos="9781"/>
            </w:tabs>
            <w:ind w:left="85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    </w:t>
          </w:r>
          <w:r w:rsidR="000C2DC6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ATTESTATI DI PILOTA PER OPERAZIONI DI UAS E</w:t>
          </w:r>
        </w:p>
        <w:p w:rsidR="000C2DC6" w:rsidRDefault="000C2DC6" w:rsidP="000C2DC6">
          <w:pPr>
            <w:widowControl w:val="0"/>
            <w:tabs>
              <w:tab w:val="center" w:pos="5316"/>
              <w:tab w:val="right" w:pos="9781"/>
            </w:tabs>
            <w:ind w:left="85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PROCEDURE PER LE ENTITA’ RICONOSCIUTE</w:t>
          </w:r>
        </w:p>
        <w:p w:rsidR="000C2DC6" w:rsidRDefault="000C2DC6" w:rsidP="000C2DC6">
          <w:pPr>
            <w:widowControl w:val="0"/>
            <w:tabs>
              <w:tab w:val="center" w:pos="5316"/>
              <w:tab w:val="right" w:pos="9781"/>
            </w:tabs>
            <w:ind w:left="85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in attuazione del Reg. (UE) 2019/947.</w:t>
          </w:r>
        </w:p>
        <w:p w:rsidR="00155912" w:rsidRDefault="001559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316"/>
              <w:tab w:val="right" w:pos="9781"/>
            </w:tabs>
            <w:rPr>
              <w:rFonts w:ascii="Arial" w:eastAsia="Arial" w:hAnsi="Arial" w:cs="Arial"/>
              <w:b/>
              <w:i/>
              <w:color w:val="000000"/>
            </w:rPr>
          </w:pPr>
        </w:p>
      </w:tc>
      <w:tc>
        <w:tcPr>
          <w:tcW w:w="3185" w:type="dxa"/>
          <w:gridSpan w:val="2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55912" w:rsidRDefault="00E065DD">
          <w:pPr>
            <w:pStyle w:val="Titolo4"/>
            <w:ind w:left="-70" w:firstLine="0"/>
            <w:jc w:val="center"/>
            <w:rPr>
              <w:rFonts w:ascii="Arial" w:eastAsia="Arial" w:hAnsi="Arial" w:cs="Arial"/>
              <w:b/>
              <w:i w:val="0"/>
            </w:rPr>
          </w:pPr>
          <w:r>
            <w:rPr>
              <w:rFonts w:ascii="Arial" w:eastAsia="Arial" w:hAnsi="Arial" w:cs="Arial"/>
              <w:b/>
              <w:i w:val="0"/>
            </w:rPr>
            <w:t xml:space="preserve">LG </w:t>
          </w:r>
          <w:r>
            <w:rPr>
              <w:rFonts w:ascii="Arial" w:eastAsia="Arial" w:hAnsi="Arial" w:cs="Arial"/>
              <w:b/>
              <w:i w:val="0"/>
            </w:rPr>
            <w:t>2023/005</w:t>
          </w:r>
          <w:r w:rsidR="00B00A7A">
            <w:rPr>
              <w:rFonts w:ascii="Arial" w:eastAsia="Arial" w:hAnsi="Arial" w:cs="Arial"/>
              <w:b/>
              <w:i w:val="0"/>
            </w:rPr>
            <w:t>-</w:t>
          </w:r>
          <w:bookmarkStart w:id="0" w:name="_GoBack"/>
          <w:bookmarkEnd w:id="0"/>
          <w:r>
            <w:rPr>
              <w:rFonts w:ascii="Arial" w:eastAsia="Arial" w:hAnsi="Arial" w:cs="Arial"/>
              <w:b/>
              <w:i w:val="0"/>
            </w:rPr>
            <w:t>UAS</w:t>
          </w:r>
        </w:p>
      </w:tc>
    </w:tr>
    <w:tr w:rsidR="00155912" w:rsidTr="000C2DC6">
      <w:trPr>
        <w:trHeight w:val="504"/>
      </w:trPr>
      <w:tc>
        <w:tcPr>
          <w:tcW w:w="1117" w:type="dxa"/>
          <w:vMerge/>
          <w:tcBorders>
            <w:top w:val="single" w:sz="4" w:space="0" w:color="000000"/>
            <w:bottom w:val="single" w:sz="4" w:space="0" w:color="000000"/>
          </w:tcBorders>
        </w:tcPr>
        <w:p w:rsidR="00155912" w:rsidRDefault="001559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5621" w:type="dxa"/>
          <w:tcBorders>
            <w:top w:val="single" w:sz="4" w:space="0" w:color="000000"/>
          </w:tcBorders>
          <w:vAlign w:val="center"/>
        </w:tcPr>
        <w:p w:rsidR="00155912" w:rsidRDefault="0094200E" w:rsidP="000C2D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316"/>
              <w:tab w:val="right" w:pos="9781"/>
            </w:tabs>
            <w:jc w:val="center"/>
            <w:rPr>
              <w:rFonts w:ascii="Verdana" w:eastAsia="Verdana" w:hAnsi="Verdana" w:cs="Verdana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ALLEGATO O</w:t>
          </w:r>
        </w:p>
      </w:tc>
      <w:tc>
        <w:tcPr>
          <w:tcW w:w="1759" w:type="dxa"/>
          <w:tcBorders>
            <w:top w:val="single" w:sz="4" w:space="0" w:color="000000"/>
          </w:tcBorders>
          <w:vAlign w:val="center"/>
        </w:tcPr>
        <w:p w:rsidR="00155912" w:rsidRDefault="00155912">
          <w:pPr>
            <w:pStyle w:val="Titolo3"/>
            <w:spacing w:line="240" w:lineRule="auto"/>
            <w:ind w:left="-70" w:right="-70"/>
            <w:jc w:val="center"/>
            <w:rPr>
              <w:b w:val="0"/>
              <w:sz w:val="20"/>
            </w:rPr>
          </w:pPr>
        </w:p>
      </w:tc>
      <w:tc>
        <w:tcPr>
          <w:tcW w:w="1426" w:type="dxa"/>
          <w:tcBorders>
            <w:top w:val="single" w:sz="4" w:space="0" w:color="000000"/>
            <w:right w:val="single" w:sz="4" w:space="0" w:color="000000"/>
          </w:tcBorders>
          <w:vAlign w:val="center"/>
        </w:tcPr>
        <w:p w:rsidR="00155912" w:rsidRDefault="00155912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</w:tr>
  </w:tbl>
  <w:p w:rsidR="00155912" w:rsidRDefault="001559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DD" w:rsidRDefault="00E065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0E2"/>
    <w:multiLevelType w:val="multilevel"/>
    <w:tmpl w:val="06CAB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C470CD"/>
    <w:multiLevelType w:val="multilevel"/>
    <w:tmpl w:val="60FAB1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E6323E"/>
    <w:multiLevelType w:val="multilevel"/>
    <w:tmpl w:val="64F0B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D421C4"/>
    <w:multiLevelType w:val="multilevel"/>
    <w:tmpl w:val="401CF6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D04BFD"/>
    <w:multiLevelType w:val="multilevel"/>
    <w:tmpl w:val="01963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7A1DE1"/>
    <w:multiLevelType w:val="multilevel"/>
    <w:tmpl w:val="E77AE2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471FE"/>
    <w:multiLevelType w:val="multilevel"/>
    <w:tmpl w:val="C8F613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D7520"/>
    <w:multiLevelType w:val="multilevel"/>
    <w:tmpl w:val="212C0D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0A23C3"/>
    <w:multiLevelType w:val="multilevel"/>
    <w:tmpl w:val="5B541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60F0AA7"/>
    <w:multiLevelType w:val="multilevel"/>
    <w:tmpl w:val="9C7EF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A32B77"/>
    <w:multiLevelType w:val="multilevel"/>
    <w:tmpl w:val="77383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B13225"/>
    <w:multiLevelType w:val="multilevel"/>
    <w:tmpl w:val="E9DEAD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12"/>
    <w:rsid w:val="000C2DC6"/>
    <w:rsid w:val="00155912"/>
    <w:rsid w:val="001D5B3F"/>
    <w:rsid w:val="00270384"/>
    <w:rsid w:val="00904169"/>
    <w:rsid w:val="0094200E"/>
    <w:rsid w:val="00B00A7A"/>
    <w:rsid w:val="00CB29CE"/>
    <w:rsid w:val="00E0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2DBB"/>
  <w15:docId w15:val="{6E174225-E409-4ED4-B4A1-D57537B8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7A5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7A51"/>
    <w:pPr>
      <w:keepNext/>
      <w:spacing w:line="360" w:lineRule="atLeast"/>
      <w:jc w:val="center"/>
      <w:outlineLvl w:val="1"/>
    </w:pPr>
    <w:rPr>
      <w:rFonts w:ascii="Arial" w:hAnsi="Arial"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C7A51"/>
    <w:pPr>
      <w:keepNext/>
      <w:spacing w:line="360" w:lineRule="atLeast"/>
      <w:ind w:left="142" w:right="141"/>
      <w:outlineLvl w:val="2"/>
    </w:pPr>
    <w:rPr>
      <w:rFonts w:ascii="Arial" w:hAnsi="Arial"/>
      <w:b/>
      <w:sz w:val="22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C7A51"/>
    <w:pPr>
      <w:keepNext/>
      <w:tabs>
        <w:tab w:val="num" w:pos="360"/>
      </w:tabs>
      <w:spacing w:before="240" w:after="60"/>
      <w:ind w:left="850" w:hanging="360"/>
      <w:outlineLvl w:val="3"/>
    </w:pPr>
    <w:rPr>
      <w:i/>
      <w:kern w:val="28"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A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A51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1C7A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A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7A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A5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C7A51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C7A51"/>
    <w:rPr>
      <w:rFonts w:ascii="Arial" w:eastAsia="Times New Roman" w:hAnsi="Arial" w:cs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C7A51"/>
    <w:rPr>
      <w:rFonts w:ascii="Times New Roman" w:eastAsia="Times New Roman" w:hAnsi="Times New Roman" w:cs="Times New Roman"/>
      <w:i/>
      <w:kern w:val="28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1C7A51"/>
  </w:style>
  <w:style w:type="paragraph" w:customStyle="1" w:styleId="CM1">
    <w:name w:val="CM1"/>
    <w:basedOn w:val="Normale"/>
    <w:next w:val="Normale"/>
    <w:uiPriority w:val="99"/>
    <w:rsid w:val="001C7A51"/>
    <w:pPr>
      <w:autoSpaceDE w:val="0"/>
      <w:autoSpaceDN w:val="0"/>
      <w:adjustRightInd w:val="0"/>
    </w:pPr>
  </w:style>
  <w:style w:type="table" w:styleId="Tabellagriglia1chiara">
    <w:name w:val="Grid Table 1 Light"/>
    <w:basedOn w:val="Tabellanormale"/>
    <w:uiPriority w:val="46"/>
    <w:rsid w:val="004E66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2">
    <w:name w:val="Plain Table 2"/>
    <w:basedOn w:val="Tabellanormale"/>
    <w:uiPriority w:val="42"/>
    <w:rsid w:val="004E66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">
    <w:name w:val="Table Grid"/>
    <w:basedOn w:val="Tabellanormale"/>
    <w:uiPriority w:val="39"/>
    <w:rsid w:val="004E6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093A"/>
    <w:pPr>
      <w:ind w:left="720"/>
      <w:contextualSpacing/>
    </w:pPr>
  </w:style>
  <w:style w:type="paragraph" w:customStyle="1" w:styleId="Default">
    <w:name w:val="Default"/>
    <w:rsid w:val="00C74F4A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DF76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764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764F"/>
    <w:rPr>
      <w:sz w:val="20"/>
      <w:szCs w:val="20"/>
    </w:rPr>
  </w:style>
  <w:style w:type="paragraph" w:styleId="Revisione">
    <w:name w:val="Revision"/>
    <w:hidden/>
    <w:uiPriority w:val="99"/>
    <w:semiHidden/>
    <w:rsid w:val="00DF764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eO1ZGkB64SdQV8DXL2IzWQYQsw==">AMUW2mWpZHPcx42c+WNaJM15fHXAa3bQRdCs2EFyKILlI66acY2BpQnpI6me60ODFAZbA9ycixJCBwx1gBoXKRzho2Oyt+7MjHJpCdfR0im0gTRwGAKCWYg=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Generali Livio</cp:lastModifiedBy>
  <cp:revision>7</cp:revision>
  <dcterms:created xsi:type="dcterms:W3CDTF">2023-10-03T10:28:00Z</dcterms:created>
  <dcterms:modified xsi:type="dcterms:W3CDTF">2023-11-03T10:41:00Z</dcterms:modified>
</cp:coreProperties>
</file>