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doc" ContentType="application/msword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-34" w:type="dxa"/>
        <w:tblLook w:val="04A0"/>
      </w:tblPr>
      <w:tblGrid>
        <w:gridCol w:w="9888"/>
      </w:tblGrid>
      <w:tr w:rsidR="00032C77" w:rsidRPr="00A826F3" w:rsidTr="00D30DE1">
        <w:tc>
          <w:tcPr>
            <w:tcW w:w="9888" w:type="dxa"/>
            <w:shd w:val="clear" w:color="auto" w:fill="auto"/>
          </w:tcPr>
          <w:p w:rsidR="00032C77" w:rsidRPr="006D4DC7" w:rsidRDefault="004A11C7" w:rsidP="00452A31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</w:pPr>
            <w:bookmarkStart w:id="0" w:name="_GoBack"/>
            <w:bookmarkEnd w:id="0"/>
            <w:r w:rsidRPr="006D4DC7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 xml:space="preserve">Reg. CE 2042/2003/amdt Reg. UE 593/2012 – </w:t>
            </w:r>
            <w:r w:rsidR="00452A31" w:rsidRPr="006D4DC7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Article 2 Definitions</w:t>
            </w:r>
            <w:r w:rsidRPr="006D4DC7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 xml:space="preserve"> </w:t>
            </w:r>
          </w:p>
        </w:tc>
      </w:tr>
      <w:tr w:rsidR="00CB1656" w:rsidRPr="00452A31" w:rsidTr="00D30DE1">
        <w:tc>
          <w:tcPr>
            <w:tcW w:w="9888" w:type="dxa"/>
            <w:shd w:val="clear" w:color="auto" w:fill="auto"/>
          </w:tcPr>
          <w:p w:rsidR="00CB1656" w:rsidRPr="00635332" w:rsidRDefault="00452A31" w:rsidP="00452A31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Paragrafo (k) ELA</w:t>
            </w:r>
            <w:r w:rsidR="004A11C7" w:rsidRPr="00452A3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1 </w:t>
            </w:r>
            <w:r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aircraft </w:t>
            </w:r>
            <w:r w:rsidR="004A11C7" w:rsidRPr="00452A3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Definition</w:t>
            </w:r>
            <w:r w:rsidR="004A11C7" w:rsidRPr="006353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032C77" w:rsidRPr="00635332" w:rsidTr="00D30DE1">
        <w:tc>
          <w:tcPr>
            <w:tcW w:w="9888" w:type="dxa"/>
          </w:tcPr>
          <w:p w:rsidR="00032C77" w:rsidRPr="00635332" w:rsidRDefault="00A6618F" w:rsidP="006353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 w:rsidRPr="006353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Vecchio Testo</w:t>
            </w:r>
          </w:p>
        </w:tc>
      </w:tr>
      <w:tr w:rsidR="00CB1656" w:rsidRPr="00C31BCD" w:rsidTr="00D30DE1">
        <w:tc>
          <w:tcPr>
            <w:tcW w:w="9888" w:type="dxa"/>
          </w:tcPr>
          <w:p w:rsidR="004A11C7" w:rsidRPr="004A11C7" w:rsidRDefault="004A11C7" w:rsidP="001F6D7E">
            <w:pPr>
              <w:autoSpaceDE w:val="0"/>
              <w:autoSpaceDN w:val="0"/>
              <w:adjustRightInd w:val="0"/>
              <w:ind w:left="360" w:hanging="360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4A11C7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(k) “ELA1 aircraft” means the following European Light Aircraft:</w:t>
            </w:r>
          </w:p>
          <w:p w:rsidR="004A11C7" w:rsidRPr="004A11C7" w:rsidRDefault="004A11C7" w:rsidP="001F6D7E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026" w:hanging="567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4A11C7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an aeroplane, sailplane or powered sailplane with a Maximum Take-off Mass (MTOM) less than 1000 kg that is not classified as complex motor-powered aircraft;</w:t>
            </w:r>
          </w:p>
          <w:p w:rsidR="004A11C7" w:rsidRPr="004A11C7" w:rsidRDefault="004A11C7" w:rsidP="001F6D7E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026" w:hanging="567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4A11C7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 balloon with a maximum design lifting gas or hot air volume of not more than 3400 m3 for hot-air balloons, 1050 m3 for gas balloons, 300 m3 for tethered gas</w:t>
            </w:r>
            <w:r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 </w:t>
            </w:r>
            <w:r w:rsidRPr="004A11C7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balloons;</w:t>
            </w:r>
          </w:p>
          <w:p w:rsidR="00CB1656" w:rsidRPr="004A11C7" w:rsidRDefault="004A11C7" w:rsidP="001F6D7E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026" w:hanging="567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4A11C7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an airship designed for not more than two occupants and a maximum design lifting gas or hot-air volume of not more than 2500 m3 for hot-air airships and 1000 m3 for gas airships; </w:t>
            </w:r>
          </w:p>
        </w:tc>
      </w:tr>
      <w:tr w:rsidR="00CB1656" w:rsidRPr="00635332" w:rsidTr="00D30DE1">
        <w:tc>
          <w:tcPr>
            <w:tcW w:w="9888" w:type="dxa"/>
          </w:tcPr>
          <w:p w:rsidR="00CB1656" w:rsidRPr="00635332" w:rsidRDefault="00CB1656" w:rsidP="00635332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 w:rsidRPr="0063533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Nuovo Testo</w:t>
            </w:r>
          </w:p>
        </w:tc>
      </w:tr>
      <w:tr w:rsidR="00CB1656" w:rsidRPr="00C31BCD" w:rsidTr="00D30DE1">
        <w:tc>
          <w:tcPr>
            <w:tcW w:w="9888" w:type="dxa"/>
          </w:tcPr>
          <w:p w:rsidR="00452A31" w:rsidRPr="00452A31" w:rsidRDefault="00452A31" w:rsidP="00452A31">
            <w:pPr>
              <w:autoSpaceDE w:val="0"/>
              <w:autoSpaceDN w:val="0"/>
              <w:adjustRightInd w:val="0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452A3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(k) “ELA1 aircraft” means the following manned European light aircraft:</w:t>
            </w:r>
          </w:p>
          <w:p w:rsidR="00452A31" w:rsidRPr="00452A31" w:rsidRDefault="00452A31" w:rsidP="001F6D7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026" w:hanging="567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452A3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an aeroplane</w:t>
            </w:r>
            <w:r w:rsidR="004A11C7" w:rsidRPr="00057C2C">
              <w:rPr>
                <w:rFonts w:ascii="Verdana" w:eastAsia="Times New Roman" w:hAnsi="Verdana" w:cs="Tahoma"/>
                <w:strike/>
                <w:sz w:val="20"/>
                <w:szCs w:val="20"/>
                <w:lang w:val="en-US" w:eastAsia="en-GB"/>
              </w:rPr>
              <w:t>, sailplane or powered sailplane</w:t>
            </w:r>
            <w:r w:rsidRPr="00452A3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 with a maximum take-off mass (MTOM) </w:t>
            </w:r>
            <w:r w:rsidRPr="00057C2C">
              <w:rPr>
                <w:rFonts w:ascii="Verdana" w:eastAsia="Times New Roman" w:hAnsi="Verdana" w:cs="Tahoma"/>
                <w:strike/>
                <w:sz w:val="20"/>
                <w:szCs w:val="20"/>
                <w:lang w:val="en-US" w:eastAsia="en-GB"/>
              </w:rPr>
              <w:t xml:space="preserve">less than 1000 kg </w:t>
            </w:r>
            <w:r w:rsidRPr="00452A3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of 1 200 kg or less</w:t>
            </w:r>
            <w:r w:rsidRPr="00452A3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 xml:space="preserve"> that is not classified as complex motor-powered aircraft;</w:t>
            </w:r>
          </w:p>
          <w:p w:rsidR="00452A31" w:rsidRPr="00452A31" w:rsidRDefault="00452A31" w:rsidP="001F6D7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026" w:hanging="567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452A31">
              <w:rPr>
                <w:rFonts w:ascii="Verdana" w:eastAsia="Times New Roman" w:hAnsi="Verdana" w:cs="Tahoma"/>
                <w:b/>
                <w:sz w:val="20"/>
                <w:szCs w:val="20"/>
                <w:lang w:val="en-US" w:eastAsia="en-GB"/>
              </w:rPr>
              <w:t>a sailplane or powered sailplane of 1 200 kg MTOM or less</w:t>
            </w:r>
            <w:r w:rsidRPr="00452A3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;</w:t>
            </w:r>
          </w:p>
          <w:p w:rsidR="00CB1656" w:rsidRDefault="00452A31" w:rsidP="001F6D7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026" w:hanging="567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452A3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 balloon with a maximum design lifting gas or hot air volume of not more than 3 400 m 3 for hot air balloons, 1 050 m 3 for gas balloons, 300 m 3 for tethered gas balloons;</w:t>
            </w:r>
          </w:p>
          <w:p w:rsidR="00452A31" w:rsidRPr="00452A31" w:rsidRDefault="00452A31" w:rsidP="001F6D7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026" w:hanging="567"/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</w:pPr>
            <w:r w:rsidRPr="00452A31">
              <w:rPr>
                <w:rFonts w:ascii="Verdana" w:eastAsia="Times New Roman" w:hAnsi="Verdana" w:cs="Tahoma"/>
                <w:sz w:val="20"/>
                <w:szCs w:val="20"/>
                <w:lang w:val="en-US" w:eastAsia="en-GB"/>
              </w:rPr>
              <w:t>an airship designed for not more than four occupants and a maximum design lifting gas or hot air volume of not more than 3 400 m 3 for hot air airships and 1 000 m 3 for gas airships.</w:t>
            </w:r>
          </w:p>
        </w:tc>
      </w:tr>
      <w:tr w:rsidR="00666283" w:rsidRPr="008C1FDD" w:rsidTr="00D30DE1">
        <w:tc>
          <w:tcPr>
            <w:tcW w:w="9888" w:type="dxa"/>
            <w:shd w:val="clear" w:color="auto" w:fill="FFFFFF" w:themeFill="background1"/>
          </w:tcPr>
          <w:p w:rsidR="00666283" w:rsidRPr="00635332" w:rsidRDefault="000272F7" w:rsidP="008C1FDD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  <w:r w:rsidRPr="000272F7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Razionale/</w:t>
            </w:r>
            <w:proofErr w:type="gramStart"/>
            <w:r w:rsidRPr="000272F7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Ulteriori</w:t>
            </w:r>
            <w:proofErr w:type="gramEnd"/>
            <w:r w:rsidRPr="000272F7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Dettagli: </w:t>
            </w:r>
            <w:r w:rsidR="00666283" w:rsidRPr="00635332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</w:t>
            </w:r>
            <w:r w:rsidR="00452A31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La definizione di ELA1 Aircraft </w:t>
            </w:r>
            <w:r w:rsidR="00691BF8" w:rsidRPr="005336EA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è stat</w:t>
            </w:r>
            <w:r w:rsidR="00452A31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a</w:t>
            </w:r>
            <w:r w:rsidR="00691BF8" w:rsidRPr="005336EA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modificat</w:t>
            </w:r>
            <w:r w:rsidR="00452A31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a</w:t>
            </w:r>
            <w:r w:rsidR="00691BF8" w:rsidRPr="005336EA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per </w:t>
            </w:r>
            <w:r w:rsidR="00452A31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aumentare</w:t>
            </w:r>
            <w:r w:rsidR="00452A31" w:rsidRPr="005336EA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</w:t>
            </w:r>
            <w:r w:rsidR="00452A31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la massa massima al decollo (MTOM) da 1000kg a 1200kg </w:t>
            </w:r>
            <w:r w:rsidR="004200C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per i velivoli, alianti e motoalianti rientranti in tale definizione, e per chiarire che </w:t>
            </w:r>
            <w:r w:rsidR="008C1FDD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in tale definizione rientrano solo aeromobili </w:t>
            </w:r>
            <w:r w:rsidR="008C1FDD" w:rsidRPr="008C1FDD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con equipaggio (manned)</w:t>
            </w:r>
            <w:r w:rsidR="00635B27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e che</w:t>
            </w:r>
            <w:r w:rsidR="008C1FDD" w:rsidRPr="008C1FDD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</w:t>
            </w:r>
            <w:r w:rsidR="004200C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la limitazione di “</w:t>
            </w:r>
            <w:r w:rsidR="004200CB" w:rsidRPr="004200C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not classified as complex motor-powered aircraft</w:t>
            </w:r>
            <w:r w:rsidR="004200CB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“ è da riferirsi solamente ai velivoli </w:t>
            </w:r>
            <w:r w:rsidR="008C1FDD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(aeroplanes)</w:t>
            </w:r>
            <w:r w:rsidR="00BD3E12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.</w:t>
            </w:r>
            <w:r w:rsidR="00914E4C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D13C1F" w:rsidRPr="008C1FDD" w:rsidTr="00D30DE1">
        <w:tc>
          <w:tcPr>
            <w:tcW w:w="9888" w:type="dxa"/>
            <w:shd w:val="clear" w:color="auto" w:fill="FFFFFF" w:themeFill="background1"/>
          </w:tcPr>
          <w:p w:rsidR="00BD3E12" w:rsidRPr="00BD3E12" w:rsidRDefault="00D13C1F" w:rsidP="00BD3E12">
            <w:pPr>
              <w:pStyle w:val="Default"/>
              <w:ind w:left="34" w:hanging="34"/>
              <w:jc w:val="both"/>
              <w:rPr>
                <w:rFonts w:eastAsiaTheme="minorHAnsi" w:cs="Arial"/>
                <w:sz w:val="20"/>
                <w:szCs w:val="20"/>
                <w:lang w:val="it-IT" w:eastAsia="en-US"/>
              </w:rPr>
            </w:pPr>
            <w:r w:rsidRPr="00BD3E12">
              <w:rPr>
                <w:rFonts w:cs="Tahoma"/>
                <w:b/>
                <w:sz w:val="20"/>
                <w:szCs w:val="20"/>
                <w:lang w:val="it-IT"/>
              </w:rPr>
              <w:t xml:space="preserve">Principali implicazioni – </w:t>
            </w:r>
            <w:proofErr w:type="gramStart"/>
            <w:r w:rsidRPr="00BD3E12">
              <w:rPr>
                <w:rFonts w:cs="Tahoma"/>
                <w:b/>
                <w:sz w:val="20"/>
                <w:szCs w:val="20"/>
                <w:lang w:val="it-IT"/>
              </w:rPr>
              <w:t>Cosa cambia</w:t>
            </w:r>
            <w:proofErr w:type="gramEnd"/>
            <w:r w:rsidRPr="00BD3E12">
              <w:rPr>
                <w:rFonts w:cs="Tahoma"/>
                <w:b/>
                <w:sz w:val="20"/>
                <w:szCs w:val="20"/>
                <w:lang w:val="it-IT"/>
              </w:rPr>
              <w:t xml:space="preserve"> a partire dal</w:t>
            </w:r>
            <w:r w:rsidR="00E935AA" w:rsidRPr="00BD3E12">
              <w:rPr>
                <w:rFonts w:cs="Tahoma"/>
                <w:b/>
                <w:sz w:val="20"/>
                <w:szCs w:val="20"/>
                <w:lang w:val="it-IT"/>
              </w:rPr>
              <w:t xml:space="preserve"> </w:t>
            </w:r>
            <w:r w:rsidRPr="00BD3E12">
              <w:rPr>
                <w:rFonts w:cs="Tahoma"/>
                <w:b/>
                <w:sz w:val="20"/>
                <w:szCs w:val="20"/>
                <w:lang w:val="it-IT"/>
              </w:rPr>
              <w:t>26 Luglio 2012 e dal 10 Settembre 2012:</w:t>
            </w:r>
            <w:r w:rsidR="00BD3E12" w:rsidRPr="00BD3E12">
              <w:rPr>
                <w:rFonts w:cs="Tahoma"/>
                <w:sz w:val="20"/>
                <w:szCs w:val="20"/>
                <w:lang w:val="it-IT"/>
              </w:rPr>
              <w:t xml:space="preserve"> </w:t>
            </w:r>
          </w:p>
          <w:p w:rsidR="00914E4C" w:rsidRDefault="00914E4C" w:rsidP="00BD3E1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Viene</w:t>
            </w:r>
            <w:proofErr w:type="gramEnd"/>
            <w:r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</w:t>
            </w:r>
            <w:r w:rsidRPr="005714E0">
              <w:rPr>
                <w:rFonts w:ascii="Verdana" w:hAnsi="Verdana" w:cs="Tahoma"/>
                <w:sz w:val="20"/>
                <w:szCs w:val="20"/>
              </w:rPr>
              <w:t xml:space="preserve">istituito un </w:t>
            </w:r>
            <w:r w:rsidRPr="005714E0"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  <w:t xml:space="preserve">processo semplificato e più proporzionato per la certificazione e la regolamentazione di “Aeromobili leggeri europei - European Light Aircraft (ELA)”, ELA1 e ELA2, inclusi motori ed eliche su di essi istallati. Per tali aeromobili è comunque mantenuto il rilascio di certificati di omologazione o </w:t>
            </w:r>
            <w:proofErr w:type="gramStart"/>
            <w:r w:rsidRPr="005714E0"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  <w:t>certificati</w:t>
            </w:r>
            <w:proofErr w:type="gramEnd"/>
            <w:r w:rsidRPr="005714E0"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  <w:t xml:space="preserve"> di omologazione ristretti. </w:t>
            </w:r>
            <w:proofErr w:type="gramStart"/>
            <w:r w:rsidRPr="005714E0"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  <w:t>In relazione al</w:t>
            </w:r>
            <w:proofErr w:type="gramEnd"/>
            <w:r w:rsidRPr="005714E0"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  <w:t xml:space="preserve"> processo ELA, ed ai sottoprocessi ELA1 ed ELA2 si sottolinea che essi non rappresentano una nuova categoria di aeromobili definita da specifici criteri o in accordo ad un codice specifico di navigabilità, ma sono sostanzialmente un nuovo processo semplificato per regolamentare alcune tipologie di aeromobili, i loro prodotti, parti e/o pertinenze.</w:t>
            </w:r>
          </w:p>
          <w:p w:rsidR="00914E4C" w:rsidRDefault="00BD3E12" w:rsidP="00BD3E1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Per gli aeromobili ELA1 in particolare il richiedente può scegliere </w:t>
            </w:r>
            <w:r w:rsidRPr="005D0F5D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di dimostrare la propria capacità in materia di progettazione attraverso la presentazione di un programma di certificazione per l’aeromobile secondo quanto richiesto al paragrafo </w:t>
            </w:r>
            <w:proofErr w:type="gramStart"/>
            <w:r w:rsidRPr="005D0F5D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21A.20</w:t>
            </w:r>
            <w:proofErr w:type="gramEnd"/>
            <w:r w:rsidRPr="005D0F5D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(b)</w:t>
            </w:r>
            <w:r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. Questo non rappresenta un obbligo per il richiedente ma una possibile scelta. </w:t>
            </w:r>
          </w:p>
          <w:p w:rsidR="00D13C1F" w:rsidRDefault="00BD3E12" w:rsidP="00BD3E1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Quindi il richiedente può comunque richiedere di seguire </w:t>
            </w:r>
            <w:proofErr w:type="gramStart"/>
            <w:r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un</w:t>
            </w:r>
            <w:proofErr w:type="gramEnd"/>
            <w:r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 standard di progetto più elevato corrispondente alla p</w:t>
            </w:r>
            <w:r w:rsidRPr="005220FF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rocedura alternativa semplificata per il DOA o alla procedura standard prevista dalla parte 21 ed applicabile agli aeromobili con MTOM superiore a 2000Kg</w:t>
            </w:r>
          </w:p>
        </w:tc>
      </w:tr>
      <w:tr w:rsidR="00D13C1F" w:rsidRPr="008C1FDD" w:rsidTr="00D30DE1">
        <w:tc>
          <w:tcPr>
            <w:tcW w:w="9888" w:type="dxa"/>
            <w:shd w:val="clear" w:color="auto" w:fill="FFFFFF" w:themeFill="background1"/>
          </w:tcPr>
          <w:p w:rsidR="00D13C1F" w:rsidRPr="00BD3E12" w:rsidRDefault="00D13C1F" w:rsidP="00AA7136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Azioni per le parti interessate:</w:t>
            </w:r>
            <w:r w:rsidR="00BD3E12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r w:rsidR="00543BD6" w:rsidRPr="00543BD6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vedi NI su regolamenti 593/2012 e 748/2012.</w:t>
            </w:r>
          </w:p>
        </w:tc>
      </w:tr>
    </w:tbl>
    <w:p w:rsidR="004C10C1" w:rsidRPr="00635332" w:rsidRDefault="004C10C1" w:rsidP="00635332">
      <w:pPr>
        <w:shd w:val="clear" w:color="auto" w:fill="FFFFFF" w:themeFill="background1"/>
        <w:sectPr w:rsidR="004C10C1" w:rsidRPr="00635332" w:rsidSect="00AA71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276" w:right="1134" w:bottom="1134" w:left="1134" w:header="426" w:footer="708" w:gutter="0"/>
          <w:cols w:space="708"/>
          <w:docGrid w:linePitch="360"/>
        </w:sectPr>
      </w:pPr>
    </w:p>
    <w:p w:rsidR="00057BBA" w:rsidRPr="00635332" w:rsidRDefault="00057BBA" w:rsidP="00635332">
      <w:pPr>
        <w:shd w:val="clear" w:color="auto" w:fill="FFFFFF" w:themeFill="background1"/>
      </w:pPr>
    </w:p>
    <w:sectPr w:rsidR="00057BBA" w:rsidRPr="00635332" w:rsidSect="00985EDC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438" w:rsidRDefault="00DA7438" w:rsidP="00ED511E">
      <w:pPr>
        <w:spacing w:after="0" w:line="240" w:lineRule="auto"/>
      </w:pPr>
      <w:r>
        <w:separator/>
      </w:r>
    </w:p>
  </w:endnote>
  <w:endnote w:type="continuationSeparator" w:id="0">
    <w:p w:rsidR="00DA7438" w:rsidRDefault="00DA7438" w:rsidP="00ED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BCD" w:rsidRDefault="00C31BC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98" w:rsidRDefault="00D30DE1">
    <w:pPr>
      <w:pStyle w:val="Pidipagina"/>
    </w:pPr>
    <w:r>
      <w:t>SNO-</w:t>
    </w:r>
    <w:r w:rsidR="00A40541">
      <w:t xml:space="preserve"> </w:t>
    </w:r>
    <w:r w:rsidR="00C31BCD">
      <w:t>Ed. Settembre</w:t>
    </w:r>
    <w:r w:rsidR="009D1D98">
      <w:t xml:space="preserve"> 2012</w:t>
    </w:r>
    <w:r w:rsidR="009D1D98">
      <w:tab/>
    </w:r>
    <w:r w:rsidR="009D1D98">
      <w:tab/>
    </w:r>
    <w:sdt>
      <w:sdtPr>
        <w:id w:val="17256717"/>
        <w:docPartObj>
          <w:docPartGallery w:val="Page Numbers (Bottom of Page)"/>
          <w:docPartUnique/>
        </w:docPartObj>
      </w:sdtPr>
      <w:sdtContent>
        <w:sdt>
          <w:sdtPr>
            <w:id w:val="17256718"/>
            <w:docPartObj>
              <w:docPartGallery w:val="Page Numbers (Top of Page)"/>
              <w:docPartUnique/>
            </w:docPartObj>
          </w:sdtPr>
          <w:sdtContent>
            <w:r w:rsidR="009D1D98">
              <w:t xml:space="preserve">Pagina </w:t>
            </w:r>
            <w:r w:rsidR="00E4508F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PAGE</w:instrText>
            </w:r>
            <w:r w:rsidR="00E4508F">
              <w:rPr>
                <w:b/>
                <w:sz w:val="24"/>
                <w:szCs w:val="24"/>
              </w:rPr>
              <w:fldChar w:fldCharType="separate"/>
            </w:r>
            <w:r w:rsidR="00A40541">
              <w:rPr>
                <w:b/>
                <w:noProof/>
              </w:rPr>
              <w:t>1</w:t>
            </w:r>
            <w:r w:rsidR="00E4508F">
              <w:rPr>
                <w:b/>
                <w:sz w:val="24"/>
                <w:szCs w:val="24"/>
              </w:rPr>
              <w:fldChar w:fldCharType="end"/>
            </w:r>
            <w:r w:rsidR="009D1D98">
              <w:t xml:space="preserve"> di </w:t>
            </w:r>
            <w:r w:rsidR="00E4508F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NUMPAGES</w:instrText>
            </w:r>
            <w:r w:rsidR="00E4508F">
              <w:rPr>
                <w:b/>
                <w:sz w:val="24"/>
                <w:szCs w:val="24"/>
              </w:rPr>
              <w:fldChar w:fldCharType="separate"/>
            </w:r>
            <w:r w:rsidR="00A40541">
              <w:rPr>
                <w:b/>
                <w:noProof/>
              </w:rPr>
              <w:t>1</w:t>
            </w:r>
            <w:r w:rsidR="00E4508F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9D1D98" w:rsidRPr="009D1D98" w:rsidRDefault="009D1D9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BCD" w:rsidRDefault="00C31BC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438" w:rsidRDefault="00DA7438" w:rsidP="00ED511E">
      <w:pPr>
        <w:spacing w:after="0" w:line="240" w:lineRule="auto"/>
      </w:pPr>
      <w:r>
        <w:separator/>
      </w:r>
    </w:p>
  </w:footnote>
  <w:footnote w:type="continuationSeparator" w:id="0">
    <w:p w:rsidR="00DA7438" w:rsidRDefault="00DA7438" w:rsidP="00ED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BCD" w:rsidRDefault="00C31BC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652"/>
      <w:gridCol w:w="5216"/>
    </w:tblGrid>
    <w:tr w:rsidR="00ED511E" w:rsidRPr="00622D4E" w:rsidTr="009D1D98">
      <w:tc>
        <w:tcPr>
          <w:tcW w:w="2357" w:type="pct"/>
          <w:tcBorders>
            <w:bottom w:val="single" w:sz="4" w:space="0" w:color="auto"/>
          </w:tcBorders>
          <w:vAlign w:val="bottom"/>
        </w:tcPr>
        <w:p w:rsidR="00ED511E" w:rsidRPr="00ED511E" w:rsidRDefault="00D30DE1" w:rsidP="00D30DE1">
          <w:pPr>
            <w:pStyle w:val="Intestazione"/>
            <w:rPr>
              <w:bCs/>
              <w:noProof/>
              <w:color w:val="76923C" w:themeColor="accent3" w:themeShade="BF"/>
              <w:sz w:val="24"/>
              <w:szCs w:val="24"/>
            </w:rPr>
          </w:pPr>
          <w:r w:rsidRPr="00E4508F">
            <w:rPr>
              <w:rFonts w:eastAsiaTheme="minorHAnsi"/>
              <w:lang w:val="en-GB" w:eastAsia="en-US"/>
            </w:rPr>
            <w:object w:dxaOrig="2033" w:dyaOrig="10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25pt;height:50.25pt" o:ole="">
                <v:imagedata r:id="rId1" o:title=""/>
              </v:shape>
              <o:OLEObject Type="Embed" ProgID="Word.Document.8" ShapeID="_x0000_i1025" DrawAspect="Content" ObjectID="_1409058541" r:id="rId2">
                <o:FieldCodes>\s</o:FieldCodes>
              </o:OLEObject>
            </w:object>
          </w:r>
        </w:p>
      </w:tc>
      <w:sdt>
        <w:sdtPr>
          <w:rPr>
            <w:b/>
            <w:bCs/>
            <w:sz w:val="24"/>
            <w:szCs w:val="24"/>
            <w:shd w:val="clear" w:color="auto" w:fill="BFBFBF" w:themeFill="background1" w:themeFillShade="BF"/>
          </w:rPr>
          <w:alias w:val="Data"/>
          <w:id w:val="17256716"/>
          <w:placeholder>
            <w:docPart w:val="0F2055726B3F4B0FBC53C904B2C61D2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it-IT"/>
            <w:storeMappedDataAs w:val="dateTime"/>
            <w:calendar w:val="gregorian"/>
          </w:date>
        </w:sdtPr>
        <w:sdtContent>
          <w:tc>
            <w:tcPr>
              <w:tcW w:w="2643" w:type="pct"/>
              <w:tcBorders>
                <w:bottom w:val="single" w:sz="4" w:space="0" w:color="943634" w:themeColor="accent2" w:themeShade="BF"/>
              </w:tcBorders>
              <w:shd w:val="clear" w:color="auto" w:fill="BFBFBF" w:themeFill="background1" w:themeFillShade="BF"/>
              <w:vAlign w:val="bottom"/>
            </w:tcPr>
            <w:p w:rsidR="00ED511E" w:rsidRPr="00ED511E" w:rsidRDefault="00225DC8" w:rsidP="004A11C7">
              <w:pPr>
                <w:pStyle w:val="Intestazione"/>
                <w:rPr>
                  <w:color w:val="FFFFFF" w:themeColor="background1"/>
                </w:rPr>
              </w:pPr>
              <w:r w:rsidRPr="00225DC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EMENDAMENTO UE 593 / 2012</w:t>
              </w:r>
              <w:proofErr w:type="gramStart"/>
              <w:r w:rsidRPr="00225DC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 xml:space="preserve">                                 </w:t>
              </w:r>
              <w:proofErr w:type="gramEnd"/>
              <w:r w:rsidRPr="00225DC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</w:rPr>
                <w:t>Reg. CE 2042/2003/amdt Reg. UE 593/2012 –  Article 2 Definitions - paragrafo (k) ELA1 aircraft</w:t>
              </w:r>
            </w:p>
          </w:tc>
        </w:sdtContent>
      </w:sdt>
    </w:tr>
  </w:tbl>
  <w:p w:rsidR="00ED511E" w:rsidRPr="00D30DE1" w:rsidRDefault="00ED511E">
    <w:pPr>
      <w:pStyle w:val="Intestazione"/>
      <w:rPr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BCD" w:rsidRDefault="00C31BC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15A84"/>
    <w:multiLevelType w:val="hybridMultilevel"/>
    <w:tmpl w:val="964ED44C"/>
    <w:lvl w:ilvl="0" w:tplc="472A9346">
      <w:start w:val="1"/>
      <w:numFmt w:val="lowerRoman"/>
      <w:lvlText w:val="(%1)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13A4E"/>
    <w:multiLevelType w:val="hybridMultilevel"/>
    <w:tmpl w:val="B008946E"/>
    <w:lvl w:ilvl="0" w:tplc="567E928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52D6D"/>
    <w:multiLevelType w:val="hybridMultilevel"/>
    <w:tmpl w:val="997A7F6E"/>
    <w:lvl w:ilvl="0" w:tplc="43708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20F90"/>
    <w:multiLevelType w:val="hybridMultilevel"/>
    <w:tmpl w:val="8220A6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32AB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17767E9"/>
    <w:multiLevelType w:val="hybridMultilevel"/>
    <w:tmpl w:val="58344D7C"/>
    <w:lvl w:ilvl="0" w:tplc="95D226DA">
      <w:start w:val="1"/>
      <w:numFmt w:val="lowerRoman"/>
      <w:lvlText w:val="(%1)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20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D4921"/>
    <w:rsid w:val="000272F7"/>
    <w:rsid w:val="00032C77"/>
    <w:rsid w:val="00057BBA"/>
    <w:rsid w:val="00057C2C"/>
    <w:rsid w:val="000E1D8C"/>
    <w:rsid w:val="00112B62"/>
    <w:rsid w:val="001866E4"/>
    <w:rsid w:val="00195121"/>
    <w:rsid w:val="001C01C0"/>
    <w:rsid w:val="001F6D7E"/>
    <w:rsid w:val="00215889"/>
    <w:rsid w:val="00225DC8"/>
    <w:rsid w:val="00233BA2"/>
    <w:rsid w:val="002A2C9F"/>
    <w:rsid w:val="002F29DF"/>
    <w:rsid w:val="002F38B1"/>
    <w:rsid w:val="003327A1"/>
    <w:rsid w:val="0033307F"/>
    <w:rsid w:val="003415A5"/>
    <w:rsid w:val="0035760C"/>
    <w:rsid w:val="003B00E0"/>
    <w:rsid w:val="004200CB"/>
    <w:rsid w:val="00426E99"/>
    <w:rsid w:val="00433F7A"/>
    <w:rsid w:val="00452A31"/>
    <w:rsid w:val="004A11C7"/>
    <w:rsid w:val="004B5B97"/>
    <w:rsid w:val="004C10C1"/>
    <w:rsid w:val="004E51CA"/>
    <w:rsid w:val="005336EA"/>
    <w:rsid w:val="00540CDE"/>
    <w:rsid w:val="00543BD6"/>
    <w:rsid w:val="00591028"/>
    <w:rsid w:val="00594B14"/>
    <w:rsid w:val="00595E25"/>
    <w:rsid w:val="005D5160"/>
    <w:rsid w:val="005E52D5"/>
    <w:rsid w:val="00622D4E"/>
    <w:rsid w:val="0062612C"/>
    <w:rsid w:val="00635332"/>
    <w:rsid w:val="00635B27"/>
    <w:rsid w:val="00655083"/>
    <w:rsid w:val="00666283"/>
    <w:rsid w:val="00682F7B"/>
    <w:rsid w:val="00691BF8"/>
    <w:rsid w:val="006A2C6F"/>
    <w:rsid w:val="006A66EC"/>
    <w:rsid w:val="006B5577"/>
    <w:rsid w:val="006C2F51"/>
    <w:rsid w:val="006D4921"/>
    <w:rsid w:val="006D4DC7"/>
    <w:rsid w:val="006F67CB"/>
    <w:rsid w:val="00720226"/>
    <w:rsid w:val="00724540"/>
    <w:rsid w:val="00861538"/>
    <w:rsid w:val="00871AC3"/>
    <w:rsid w:val="00880D26"/>
    <w:rsid w:val="008A3FE1"/>
    <w:rsid w:val="008C1FDD"/>
    <w:rsid w:val="008C3BF5"/>
    <w:rsid w:val="008E23D2"/>
    <w:rsid w:val="00914E4C"/>
    <w:rsid w:val="009325BD"/>
    <w:rsid w:val="00971836"/>
    <w:rsid w:val="00985EDC"/>
    <w:rsid w:val="009865E7"/>
    <w:rsid w:val="009D1D98"/>
    <w:rsid w:val="009D798C"/>
    <w:rsid w:val="00A40541"/>
    <w:rsid w:val="00A604C3"/>
    <w:rsid w:val="00A63AC6"/>
    <w:rsid w:val="00A6618F"/>
    <w:rsid w:val="00A826F3"/>
    <w:rsid w:val="00AA7136"/>
    <w:rsid w:val="00AB6C5D"/>
    <w:rsid w:val="00B36393"/>
    <w:rsid w:val="00BD3E12"/>
    <w:rsid w:val="00C2048A"/>
    <w:rsid w:val="00C26CF1"/>
    <w:rsid w:val="00C31BCD"/>
    <w:rsid w:val="00C64C25"/>
    <w:rsid w:val="00C974B3"/>
    <w:rsid w:val="00CB1656"/>
    <w:rsid w:val="00CF3104"/>
    <w:rsid w:val="00D13C1F"/>
    <w:rsid w:val="00D13CA7"/>
    <w:rsid w:val="00D30DE1"/>
    <w:rsid w:val="00DA16D4"/>
    <w:rsid w:val="00DA7438"/>
    <w:rsid w:val="00DC7DE0"/>
    <w:rsid w:val="00E43A73"/>
    <w:rsid w:val="00E4508F"/>
    <w:rsid w:val="00E935AA"/>
    <w:rsid w:val="00ED511E"/>
    <w:rsid w:val="00EF4051"/>
    <w:rsid w:val="00FB0B17"/>
    <w:rsid w:val="00FB2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0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essunaspaziatura">
    <w:name w:val="No Spacing"/>
    <w:uiPriority w:val="1"/>
    <w:qFormat/>
    <w:rsid w:val="008C3BF5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618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11E"/>
  </w:style>
  <w:style w:type="paragraph" w:styleId="Pidipagina">
    <w:name w:val="footer"/>
    <w:basedOn w:val="Normale"/>
    <w:link w:val="Pidipagina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51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e"/>
    <w:next w:val="Normale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BD3E1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oSpacing">
    <w:name w:val="No Spacing"/>
    <w:uiPriority w:val="1"/>
    <w:qFormat/>
    <w:rsid w:val="008C3BF5"/>
    <w:pPr>
      <w:spacing w:after="0" w:line="240" w:lineRule="auto"/>
    </w:pPr>
  </w:style>
  <w:style w:type="table" w:styleId="TableGrid">
    <w:name w:val="Table Grid"/>
    <w:basedOn w:val="TableNormal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"/>
    <w:next w:val="Normal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ListParagraph">
    <w:name w:val="List Paragraph"/>
    <w:basedOn w:val="Normal"/>
    <w:uiPriority w:val="34"/>
    <w:qFormat/>
    <w:rsid w:val="00A661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11E"/>
  </w:style>
  <w:style w:type="paragraph" w:styleId="Footer">
    <w:name w:val="footer"/>
    <w:basedOn w:val="Normal"/>
    <w:link w:val="FooterChar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11E"/>
  </w:style>
  <w:style w:type="paragraph" w:styleId="BalloonText">
    <w:name w:val="Balloon Text"/>
    <w:basedOn w:val="Normal"/>
    <w:link w:val="BalloonTextChar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"/>
    <w:next w:val="Normal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6497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817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i_Microsoft_Office_Word_97_-_20031.doc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2055726B3F4B0FBC53C904B2C61D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F9F82-B630-4F6F-8FE5-A915ED79093B}"/>
      </w:docPartPr>
      <w:docPartBody>
        <w:p w:rsidR="0065547C" w:rsidRDefault="006A11EB" w:rsidP="006A11EB">
          <w:pPr>
            <w:pStyle w:val="0F2055726B3F4B0FBC53C904B2C61D27"/>
          </w:pPr>
          <w:r>
            <w:rPr>
              <w:color w:val="FFFFFF" w:themeColor="background1"/>
              <w:lang w:val="it-IT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formatting="0" w:inkAnnotations="0"/>
  <w:defaultTabStop w:val="720"/>
  <w:hyphenationZone w:val="283"/>
  <w:characterSpacingControl w:val="doNotCompress"/>
  <w:compat>
    <w:useFELayout/>
  </w:compat>
  <w:rsids>
    <w:rsidRoot w:val="006A11EB"/>
    <w:rsid w:val="00506356"/>
    <w:rsid w:val="0065547C"/>
    <w:rsid w:val="006555C5"/>
    <w:rsid w:val="006837F5"/>
    <w:rsid w:val="006A11EB"/>
    <w:rsid w:val="007F4AD4"/>
    <w:rsid w:val="009D2EF9"/>
    <w:rsid w:val="00B67CA3"/>
    <w:rsid w:val="00C4503A"/>
    <w:rsid w:val="00CE54B9"/>
    <w:rsid w:val="00D156FB"/>
    <w:rsid w:val="00D30267"/>
    <w:rsid w:val="00F35DD2"/>
    <w:rsid w:val="00F95609"/>
    <w:rsid w:val="00F973D3"/>
    <w:rsid w:val="00FB4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4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A5EA1EAC7DB4759B356368BF9D548A4">
    <w:name w:val="4A5EA1EAC7DB4759B356368BF9D548A4"/>
    <w:rsid w:val="006A11EB"/>
  </w:style>
  <w:style w:type="paragraph" w:customStyle="1" w:styleId="0F2055726B3F4B0FBC53C904B2C61D27">
    <w:name w:val="0F2055726B3F4B0FBC53C904B2C61D27"/>
    <w:rsid w:val="006A11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EMENDAMENTO UE 593 / 2012                                 Reg. CE 2042/2003/amdt Reg. UE 593/2012 –  Article 2 Definitions - paragrafo (k) ELA1 aircraft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e00380</dc:creator>
  <cp:lastModifiedBy>e00380</cp:lastModifiedBy>
  <cp:revision>23</cp:revision>
  <cp:lastPrinted>2012-08-16T13:40:00Z</cp:lastPrinted>
  <dcterms:created xsi:type="dcterms:W3CDTF">2012-08-18T12:29:00Z</dcterms:created>
  <dcterms:modified xsi:type="dcterms:W3CDTF">2012-09-13T14:23:00Z</dcterms:modified>
</cp:coreProperties>
</file>