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42" w:rsidRPr="00250042" w:rsidRDefault="00250042" w:rsidP="00250042">
      <w:pPr>
        <w:shd w:val="clear" w:color="auto" w:fill="FFFFFF"/>
        <w:spacing w:after="100" w:afterAutospacing="1" w:line="547" w:lineRule="atLeast"/>
        <w:outlineLvl w:val="1"/>
        <w:rPr>
          <w:rFonts w:ascii="IBMPlexSans Semibold" w:eastAsia="Times New Roman" w:hAnsi="IBMPlexSans Semibold" w:cs="Arial"/>
          <w:color w:val="012F4F"/>
          <w:sz w:val="36"/>
          <w:szCs w:val="36"/>
          <w:lang w:eastAsia="it-IT"/>
        </w:rPr>
      </w:pPr>
      <w:r w:rsidRPr="00250042">
        <w:rPr>
          <w:rFonts w:ascii="IBMPlexSans Semibold" w:eastAsia="Times New Roman" w:hAnsi="IBMPlexSans Semibold" w:cs="Arial"/>
          <w:color w:val="012F4F"/>
          <w:sz w:val="36"/>
          <w:szCs w:val="36"/>
          <w:lang w:eastAsia="it-IT"/>
        </w:rPr>
        <w:t>Informazioni</w:t>
      </w:r>
    </w:p>
    <w:p w:rsidR="00250042" w:rsidRPr="00250042" w:rsidRDefault="00250042" w:rsidP="00250042">
      <w:pPr>
        <w:shd w:val="clear" w:color="auto" w:fill="FFFFFF"/>
        <w:spacing w:after="100" w:afterAutospacing="1" w:line="504" w:lineRule="atLeast"/>
        <w:outlineLvl w:val="2"/>
        <w:rPr>
          <w:rFonts w:ascii="IBMPlexSans Semibold" w:eastAsia="Times New Roman" w:hAnsi="IBMPlexSans Semibold" w:cs="Arial"/>
          <w:color w:val="012F4F"/>
          <w:sz w:val="27"/>
          <w:szCs w:val="27"/>
          <w:lang w:eastAsia="it-IT"/>
        </w:rPr>
      </w:pPr>
      <w:r w:rsidRPr="00250042">
        <w:rPr>
          <w:rFonts w:ascii="IBMPlexSans Semibold" w:eastAsia="Times New Roman" w:hAnsi="IBMPlexSans Semibold" w:cs="Arial"/>
          <w:color w:val="012F4F"/>
          <w:sz w:val="27"/>
          <w:szCs w:val="27"/>
          <w:lang w:eastAsia="it-IT"/>
        </w:rPr>
        <w:t>Certificazi</w:t>
      </w:r>
      <w:r w:rsidR="00F85AA8">
        <w:rPr>
          <w:rFonts w:ascii="IBMPlexSans Semibold" w:eastAsia="Times New Roman" w:hAnsi="IBMPlexSans Semibold" w:cs="Arial"/>
          <w:color w:val="012F4F"/>
          <w:sz w:val="27"/>
          <w:szCs w:val="27"/>
          <w:lang w:eastAsia="it-IT"/>
        </w:rPr>
        <w:t xml:space="preserve">one degli Istruttori di Security e </w:t>
      </w:r>
      <w:proofErr w:type="spellStart"/>
      <w:r w:rsidR="00F85AA8">
        <w:rPr>
          <w:rFonts w:ascii="IBMPlexSans Semibold" w:eastAsia="Times New Roman" w:hAnsi="IBMPlexSans Semibold" w:cs="Arial"/>
          <w:color w:val="012F4F"/>
          <w:sz w:val="27"/>
          <w:szCs w:val="27"/>
          <w:lang w:eastAsia="it-IT"/>
        </w:rPr>
        <w:t>Validatori</w:t>
      </w:r>
      <w:proofErr w:type="spellEnd"/>
      <w:r w:rsidR="00F85AA8">
        <w:rPr>
          <w:rFonts w:ascii="IBMPlexSans Semibold" w:eastAsia="Times New Roman" w:hAnsi="IBMPlexSans Semibold" w:cs="Arial"/>
          <w:color w:val="012F4F"/>
          <w:sz w:val="27"/>
          <w:szCs w:val="27"/>
          <w:lang w:eastAsia="it-IT"/>
        </w:rPr>
        <w:t xml:space="preserve"> della sicurezza</w:t>
      </w:r>
    </w:p>
    <w:p w:rsidR="00AD5898" w:rsidRDefault="00AD5898" w:rsidP="00AD5898">
      <w:pPr>
        <w:shd w:val="clear" w:color="auto" w:fill="FFFFFF"/>
        <w:spacing w:after="100" w:afterAutospacing="1" w:line="240" w:lineRule="auto"/>
        <w:jc w:val="both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Si informa che il nuovo regolamento per le tariffe dell’ENAC, approvato con Decreto n. 46 dell’11 marzo 2025 dei Ministri delle Infrastrutture e dei Trasporti e dell’economia e delle Finanze, entrerà in vigore il 26 giugno 2025.</w:t>
      </w:r>
    </w:p>
    <w:p w:rsidR="00AD5898" w:rsidRDefault="00AD5898" w:rsidP="00AD5898">
      <w:pPr>
        <w:shd w:val="clear" w:color="auto" w:fill="FFFFFF"/>
        <w:spacing w:after="100" w:afterAutospacing="1" w:line="240" w:lineRule="auto"/>
        <w:jc w:val="both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L’art. 60 del suddetto Regolamento ha modificato l’importo dovuto relativo ai diritti per il rilascio o il rinnovo della certificazione di Istruttore di Sicurezza e ai diritti per il rilascio o il rinnovo della certificazione di </w:t>
      </w:r>
      <w:proofErr w:type="spellStart"/>
      <w:r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Validatori</w:t>
      </w:r>
      <w:proofErr w:type="spellEnd"/>
      <w:r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 della sicurezza dell’aviazione civile nazionale o UE. L’importo è pari a € 240,00.</w:t>
      </w:r>
    </w:p>
    <w:p w:rsidR="00AD5898" w:rsidRDefault="00AD5898" w:rsidP="00AD5898">
      <w:pPr>
        <w:shd w:val="clear" w:color="auto" w:fill="FFFFFF"/>
        <w:spacing w:after="100" w:afterAutospacing="1" w:line="240" w:lineRule="auto"/>
        <w:jc w:val="both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La procedura per il pagamento rimane invariata.</w:t>
      </w:r>
    </w:p>
    <w:p w:rsidR="00250042" w:rsidRPr="00250042" w:rsidRDefault="00250042" w:rsidP="00250042">
      <w:pPr>
        <w:shd w:val="clear" w:color="auto" w:fill="FFFFFF"/>
        <w:spacing w:after="100" w:afterAutospacing="1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Per accedere è necessario </w:t>
      </w:r>
      <w:hyperlink r:id="rId4" w:tgtFrame="_blank" w:tooltip="registrarsi" w:history="1">
        <w:r w:rsidRPr="00250042">
          <w:rPr>
            <w:rFonts w:ascii="IBMPlexSans Bold" w:eastAsia="Times New Roman" w:hAnsi="IBMPlexSans Bold" w:cs="Arial"/>
            <w:color w:val="012F4F"/>
            <w:sz w:val="24"/>
            <w:szCs w:val="24"/>
            <w:u w:val="single"/>
            <w:lang w:eastAsia="it-IT"/>
          </w:rPr>
          <w:t>registrarsi</w:t>
        </w:r>
      </w:hyperlink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.</w:t>
      </w:r>
    </w:p>
    <w:p w:rsidR="00250042" w:rsidRPr="00250042" w:rsidRDefault="00250042" w:rsidP="00250042">
      <w:pPr>
        <w:shd w:val="clear" w:color="auto" w:fill="FFFFFF"/>
        <w:spacing w:after="100" w:afterAutospacing="1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L’Utente registrato può gestire e pagare esclusivamente </w:t>
      </w:r>
      <w:hyperlink r:id="rId5" w:tooltip="Vai a Prestazioni" w:history="1">
        <w:r w:rsidRPr="00250042">
          <w:rPr>
            <w:rFonts w:ascii="IBMPlexSans Bold" w:eastAsia="Times New Roman" w:hAnsi="IBMPlexSans Bold" w:cs="Arial"/>
            <w:color w:val="012F4F"/>
            <w:sz w:val="24"/>
            <w:szCs w:val="24"/>
            <w:u w:val="single"/>
            <w:lang w:eastAsia="it-IT"/>
          </w:rPr>
          <w:t>prestazioni</w:t>
        </w:r>
      </w:hyperlink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relative a servizi di cui è direttamente beneficiario.</w:t>
      </w:r>
    </w:p>
    <w:p w:rsidR="00250042" w:rsidRPr="00250042" w:rsidRDefault="00250042" w:rsidP="00250042">
      <w:pPr>
        <w:shd w:val="clear" w:color="auto" w:fill="FFFFFF"/>
        <w:spacing w:after="100" w:afterAutospacing="1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Si ricorda che se si desidera intestare la fattura a un’azienda occorre che, al momento della transazione, siano stati inseriti e attivati i dati presenti nel menu Azienda.</w:t>
      </w:r>
    </w:p>
    <w:p w:rsidR="00250042" w:rsidRPr="00250042" w:rsidRDefault="00250042" w:rsidP="00250042">
      <w:pPr>
        <w:shd w:val="clear" w:color="auto" w:fill="FFFFFF"/>
        <w:spacing w:after="100" w:afterAutospacing="1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Le credenziali di </w:t>
      </w:r>
      <w:hyperlink r:id="rId6" w:tgtFrame="_blank" w:tooltip="accesso al sistema" w:history="1">
        <w:r w:rsidRPr="00250042">
          <w:rPr>
            <w:rFonts w:ascii="IBMPlexSans Bold" w:eastAsia="Times New Roman" w:hAnsi="IBMPlexSans Bold" w:cs="Arial"/>
            <w:color w:val="012F4F"/>
            <w:sz w:val="24"/>
            <w:szCs w:val="24"/>
            <w:u w:val="single"/>
            <w:lang w:eastAsia="it-IT"/>
          </w:rPr>
          <w:t>accesso al sistema</w:t>
        </w:r>
      </w:hyperlink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sono costituite dal codice fiscale e da una password scelta dall’Utente.</w:t>
      </w:r>
    </w:p>
    <w:p w:rsidR="00250042" w:rsidRPr="00250042" w:rsidRDefault="00250042" w:rsidP="00250042">
      <w:pPr>
        <w:shd w:val="clear" w:color="auto" w:fill="FFFFFF"/>
        <w:spacing w:after="0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I cittadini in possesso di </w:t>
      </w:r>
      <w:hyperlink r:id="rId7" w:tgtFrame="_blank" w:tooltip="Carta Nazionale dei Servizi" w:history="1">
        <w:r w:rsidRPr="00250042">
          <w:rPr>
            <w:rFonts w:ascii="IBMPlexSans Bold" w:eastAsia="Times New Roman" w:hAnsi="IBMPlexSans Bold" w:cs="Arial"/>
            <w:color w:val="012F4F"/>
            <w:sz w:val="24"/>
            <w:szCs w:val="24"/>
            <w:u w:val="single"/>
            <w:lang w:eastAsia="it-IT"/>
          </w:rPr>
          <w:t>Carta nazionale dei Servizi</w:t>
        </w:r>
      </w:hyperlink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possono accedere anche attraverso il seguente canale di accreditamento: </w:t>
      </w:r>
      <w:hyperlink r:id="rId8" w:tgtFrame="_blank" w:tooltip="Accesso con Carta Nazionale dei Servizi" w:history="1">
        <w:r w:rsidRPr="00250042">
          <w:rPr>
            <w:rFonts w:ascii="IBMPlexSans Bold" w:eastAsia="Times New Roman" w:hAnsi="IBMPlexSans Bold" w:cs="Arial"/>
            <w:color w:val="012F4F"/>
            <w:sz w:val="24"/>
            <w:szCs w:val="24"/>
            <w:u w:val="single"/>
            <w:lang w:eastAsia="it-IT"/>
          </w:rPr>
          <w:t>Accesso con Carta Nazionale dei Servizi</w:t>
        </w:r>
      </w:hyperlink>
    </w:p>
    <w:p w:rsidR="00250042" w:rsidRPr="00250042" w:rsidRDefault="00250042" w:rsidP="00250042">
      <w:pPr>
        <w:shd w:val="clear" w:color="auto" w:fill="C9E6F7"/>
        <w:spacing w:after="100" w:afterAutospacing="1" w:line="240" w:lineRule="auto"/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</w:pP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 xml:space="preserve">Importo </w:t>
      </w:r>
      <w:r w:rsidR="00F85AA8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279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 xml:space="preserve"> euro</w:t>
      </w:r>
      <w:r w:rsidR="00AD5898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(così composto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: </w:t>
      </w:r>
      <w:r w:rsidR="00F85AA8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240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 xml:space="preserve"> euro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 tariffa art. </w:t>
      </w:r>
      <w:r w:rsidR="00F85AA8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60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 Reg. Tariffe 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+ 4</w:t>
      </w:r>
      <w:r w:rsidR="00F85AA8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,8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 xml:space="preserve"> euro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art. 7 Reg. Tariffe 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+ 16 euro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bollo virtuale</w:t>
      </w:r>
      <w:r w:rsidR="00AD5898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 istanza</w:t>
      </w:r>
      <w:r w:rsidR="00044AFA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 + </w:t>
      </w:r>
      <w:r w:rsidR="00044AFA" w:rsidRPr="00044AFA">
        <w:rPr>
          <w:rFonts w:ascii="IBMPlexSans Regular" w:eastAsia="Times New Roman" w:hAnsi="IBMPlexSans Regular" w:cs="Arial"/>
          <w:b/>
          <w:color w:val="000000"/>
          <w:sz w:val="24"/>
          <w:szCs w:val="24"/>
          <w:lang w:eastAsia="it-IT"/>
        </w:rPr>
        <w:t>16 euro</w:t>
      </w:r>
      <w:r w:rsidR="00044AFA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 xml:space="preserve"> bollo virtuale rilascio attestato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</w:t>
      </w:r>
      <w:r w:rsidRPr="00250042">
        <w:rPr>
          <w:rFonts w:ascii="IBMPlexSans Regular" w:eastAsia="Times New Roman" w:hAnsi="IBMPlexSans Regular" w:cs="Arial"/>
          <w:b/>
          <w:bCs/>
          <w:color w:val="000000"/>
          <w:sz w:val="24"/>
          <w:szCs w:val="24"/>
          <w:lang w:eastAsia="it-IT"/>
        </w:rPr>
        <w:t>+ 2 euro</w:t>
      </w:r>
      <w:r w:rsidRPr="00250042">
        <w:rPr>
          <w:rFonts w:ascii="IBMPlexSans Regular" w:eastAsia="Times New Roman" w:hAnsi="IBMPlexSans Regular" w:cs="Arial"/>
          <w:color w:val="000000"/>
          <w:sz w:val="24"/>
          <w:szCs w:val="24"/>
          <w:lang w:eastAsia="it-IT"/>
        </w:rPr>
        <w:t> marca da bollo su fattura per importi superiori a 77,47 euro)</w:t>
      </w:r>
    </w:p>
    <w:p w:rsidR="00F2095D" w:rsidRDefault="00F2095D">
      <w:bookmarkStart w:id="0" w:name="_GoBack"/>
      <w:bookmarkEnd w:id="0"/>
    </w:p>
    <w:sectPr w:rsidR="00F20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Sans 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ans Regular">
    <w:altName w:val="Cambria"/>
    <w:panose1 w:val="00000000000000000000"/>
    <w:charset w:val="00"/>
    <w:family w:val="roman"/>
    <w:notTrueType/>
    <w:pitch w:val="default"/>
  </w:font>
  <w:font w:name="IBMPlexSans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2"/>
    <w:rsid w:val="00044AFA"/>
    <w:rsid w:val="00250042"/>
    <w:rsid w:val="004E0957"/>
    <w:rsid w:val="00AD5898"/>
    <w:rsid w:val="00F2095D"/>
    <w:rsid w:val="00F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7C5C"/>
  <w15:chartTrackingRefBased/>
  <w15:docId w15:val="{6826E547-D6AC-4F9F-B85D-F6F71EF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online.enac.gov.it/accesso-con-c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zionline.enac.gov.it/la-c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zionline.enac.gov.it/home?p_p_state=maximized&amp;p_p_mode=view&amp;saveLastPath=0&amp;_58_struts_action=%2Flogin%2Flogin&amp;p_p_id=58&amp;p_p_lifecycle=0&amp;_58_redirect=%2Fgroup%2Fguest%2Fpagamenti-on-line" TargetMode="External"/><Relationship Id="rId5" Type="http://schemas.openxmlformats.org/officeDocument/2006/relationships/hyperlink" Target="https://www.enac.gov.it/servizi-online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rvizionline.enac.gov.it/registrazione-nuovi-utent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Pagliaccia Cristina</dc:creator>
  <cp:keywords/>
  <dc:description/>
  <cp:lastModifiedBy>Pagliaccia Cristina</cp:lastModifiedBy>
  <cp:revision>2</cp:revision>
  <dcterms:created xsi:type="dcterms:W3CDTF">2025-06-17T13:46:00Z</dcterms:created>
  <dcterms:modified xsi:type="dcterms:W3CDTF">2025-06-20T15:22:00Z</dcterms:modified>
</cp:coreProperties>
</file>