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652"/>
        <w:gridCol w:w="1383"/>
        <w:gridCol w:w="277"/>
        <w:gridCol w:w="806"/>
        <w:gridCol w:w="142"/>
        <w:gridCol w:w="794"/>
        <w:gridCol w:w="934"/>
        <w:gridCol w:w="483"/>
        <w:gridCol w:w="1701"/>
        <w:gridCol w:w="2551"/>
      </w:tblGrid>
      <w:tr w:rsidR="00C0535A" w:rsidRPr="00765C3F" w:rsidTr="00377588">
        <w:trPr>
          <w:trHeight w:val="1248"/>
        </w:trPr>
        <w:tc>
          <w:tcPr>
            <w:tcW w:w="1063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765C3F" w:rsidRDefault="00C0535A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DICHIARAZIONE</w:t>
            </w:r>
            <w:r w:rsidR="00765C3F"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 xml:space="preserve"> </w:t>
            </w:r>
          </w:p>
          <w:p w:rsidR="00C0535A" w:rsidRDefault="00765C3F" w:rsidP="00377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8"/>
                <w:lang w:eastAsia="it-IT"/>
              </w:rPr>
              <w:t>DECLARATION</w:t>
            </w:r>
          </w:p>
          <w:p w:rsidR="00C0535A" w:rsidRPr="00765C3F" w:rsidRDefault="00EE6C31" w:rsidP="00F10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 conformità al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 xml:space="preserve"> Regolamento (UE) n. 965/2012 della Commissione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relativo a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t>lle operazioni di volo</w:t>
            </w:r>
            <w:r w:rsidR="00C0535A" w:rsidRPr="00BF1217"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in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accordance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with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Commission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Regulation</w:t>
            </w:r>
            <w:proofErr w:type="spellEnd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 (</w:t>
            </w:r>
            <w:r w:rsidR="00F1018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E</w:t>
            </w:r>
            <w:r w:rsidR="00F1018A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U</w:t>
            </w:r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) No 965/2012 on </w:t>
            </w:r>
            <w:r w:rsidR="00062198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a</w:t>
            </w:r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 xml:space="preserve">ir </w:t>
            </w:r>
            <w:proofErr w:type="spellStart"/>
            <w:r w:rsidR="00C0535A" w:rsidRPr="00765C3F">
              <w:rPr>
                <w:rFonts w:ascii="Arial" w:eastAsia="Times New Roman" w:hAnsi="Arial" w:cs="Arial"/>
                <w:i/>
                <w:color w:val="000000"/>
                <w:sz w:val="14"/>
                <w:lang w:eastAsia="it-IT"/>
              </w:rPr>
              <w:t>operations</w:t>
            </w:r>
            <w:proofErr w:type="spellEnd"/>
          </w:p>
        </w:tc>
      </w:tr>
      <w:tr w:rsidR="00BF1217" w:rsidRPr="00BF1217" w:rsidTr="00821358">
        <w:trPr>
          <w:trHeight w:val="389"/>
        </w:trPr>
        <w:tc>
          <w:tcPr>
            <w:tcW w:w="1063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OPERATORE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OPERATOR</w:t>
            </w:r>
          </w:p>
        </w:tc>
      </w:tr>
      <w:tr w:rsidR="00821358" w:rsidRPr="00BF1217" w:rsidTr="00821358">
        <w:trPr>
          <w:trHeight w:val="39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:rsidR="00821358" w:rsidRPr="00BF1217" w:rsidRDefault="00821358" w:rsidP="00EE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Nome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  <w:tc>
          <w:tcPr>
            <w:tcW w:w="9723" w:type="dxa"/>
            <w:gridSpan w:val="10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</w:tcPr>
          <w:p w:rsidR="00821358" w:rsidRPr="00BF1217" w:rsidRDefault="00821358" w:rsidP="00EE6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bookmarkStart w:id="0" w:name="_GoBack"/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bookmarkEnd w:id="0"/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AB6D47" w:rsidRPr="00F1018A" w:rsidTr="00152626">
        <w:trPr>
          <w:trHeight w:val="403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1018A" w:rsidRPr="00F1018A" w:rsidRDefault="00EE6C31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Luogo nel quale l'operatore ha la sua sede principale di attività o, se l'operatore non ha una sede principale di attività, luogo nel quale l'operatore è stabilito o risiede e luogo dal quale le operazioni sono dirette:</w:t>
            </w:r>
            <w:r w:rsidR="00AB6D4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Place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in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which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operator has its principal place of business or, if the operator has no principal place of business, place in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which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operator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is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established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or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residing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place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from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which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the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operations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are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directed</w:t>
            </w:r>
            <w:proofErr w:type="spellEnd"/>
          </w:p>
        </w:tc>
      </w:tr>
      <w:tr w:rsidR="00AB6D47" w:rsidRPr="00BF1217" w:rsidTr="00821358">
        <w:trPr>
          <w:trHeight w:val="433"/>
        </w:trPr>
        <w:tc>
          <w:tcPr>
            <w:tcW w:w="10631" w:type="dxa"/>
            <w:gridSpan w:val="11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AB6D47" w:rsidRPr="00152626" w:rsidRDefault="00017234" w:rsidP="00377588">
            <w:pPr>
              <w:spacing w:after="0" w:line="240" w:lineRule="auto"/>
              <w:rPr>
                <w:rFonts w:ascii="Arial" w:hAnsi="Arial" w:cs="Arial"/>
              </w:rPr>
            </w:pPr>
            <w:r w:rsidRPr="0015262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B6D47" w:rsidRPr="00152626">
              <w:rPr>
                <w:rFonts w:ascii="Arial" w:hAnsi="Arial" w:cs="Arial"/>
              </w:rPr>
              <w:instrText xml:space="preserve"> FORMTEXT </w:instrText>
            </w:r>
            <w:r w:rsidRPr="00152626">
              <w:rPr>
                <w:rFonts w:ascii="Arial" w:hAnsi="Arial" w:cs="Arial"/>
              </w:rPr>
            </w:r>
            <w:r w:rsidRPr="00152626">
              <w:rPr>
                <w:rFonts w:ascii="Arial" w:hAnsi="Arial" w:cs="Arial"/>
              </w:rPr>
              <w:fldChar w:fldCharType="separate"/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="00AB6D47" w:rsidRPr="00152626">
              <w:rPr>
                <w:rFonts w:ascii="Arial" w:hAnsi="Arial" w:cs="Arial"/>
                <w:noProof/>
              </w:rPr>
              <w:t> </w:t>
            </w:r>
            <w:r w:rsidRPr="00152626">
              <w:rPr>
                <w:rFonts w:ascii="Arial" w:hAnsi="Arial" w:cs="Arial"/>
              </w:rPr>
              <w:fldChar w:fldCharType="end"/>
            </w:r>
          </w:p>
        </w:tc>
      </w:tr>
      <w:tr w:rsidR="00821358" w:rsidRPr="00BF1217" w:rsidTr="00821358">
        <w:trPr>
          <w:trHeight w:val="599"/>
        </w:trPr>
        <w:tc>
          <w:tcPr>
            <w:tcW w:w="4026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hideMark/>
          </w:tcPr>
          <w:p w:rsidR="00821358" w:rsidRPr="00BF1217" w:rsidRDefault="00821358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Nome e recapiti del dirigente responsabile: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Name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contact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details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of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accountable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manager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  <w:tc>
          <w:tcPr>
            <w:tcW w:w="6605" w:type="dxa"/>
            <w:gridSpan w:val="6"/>
            <w:tcBorders>
              <w:top w:val="single" w:sz="8" w:space="0" w:color="auto"/>
              <w:right w:val="single" w:sz="12" w:space="0" w:color="000000"/>
            </w:tcBorders>
            <w:shd w:val="clear" w:color="auto" w:fill="auto"/>
          </w:tcPr>
          <w:p w:rsidR="00821358" w:rsidRPr="00BF1217" w:rsidRDefault="00821358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BF1217" w:rsidTr="00821358">
        <w:trPr>
          <w:trHeight w:val="418"/>
        </w:trPr>
        <w:tc>
          <w:tcPr>
            <w:tcW w:w="1063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EE6C31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6C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ESERCIZIO DELL'AEROMOBILE</w:t>
            </w:r>
            <w:r w:rsidR="00BF1217"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="00BF1217"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4"/>
                <w:szCs w:val="20"/>
                <w:lang w:eastAsia="it-IT"/>
              </w:rPr>
              <w:t>AIRCRAFT OPERATION</w:t>
            </w:r>
          </w:p>
        </w:tc>
      </w:tr>
      <w:tr w:rsidR="00821358" w:rsidRPr="00BF1217" w:rsidTr="00821358">
        <w:trPr>
          <w:trHeight w:val="505"/>
        </w:trPr>
        <w:tc>
          <w:tcPr>
            <w:tcW w:w="589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21358" w:rsidRPr="00BF1217" w:rsidRDefault="00821358" w:rsidP="00F47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di inizio dell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’esercizio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data di applicabilità della modifica: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Starting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date of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operation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and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applicability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date of the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change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:</w:t>
            </w:r>
          </w:p>
        </w:tc>
        <w:tc>
          <w:tcPr>
            <w:tcW w:w="4735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:rsidR="00821358" w:rsidRPr="00BF1217" w:rsidRDefault="00821358" w:rsidP="00F473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EE6C31" w:rsidRPr="00830A7A" w:rsidTr="00821358">
        <w:trPr>
          <w:trHeight w:val="566"/>
        </w:trPr>
        <w:tc>
          <w:tcPr>
            <w:tcW w:w="10631" w:type="dxa"/>
            <w:gridSpan w:val="11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Default="00EE6C31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Informazioni sull'aeromobile, sull'esercizio e sull'organizzazione di gestione </w:t>
            </w:r>
            <w:r w:rsidR="00772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del mantenimento </w:t>
            </w:r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dell'</w:t>
            </w:r>
            <w:proofErr w:type="spellStart"/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aeronavigabilità</w:t>
            </w:r>
            <w:proofErr w:type="spellEnd"/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94C5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it-IT"/>
              </w:rPr>
              <w:t>(1)</w:t>
            </w:r>
            <w:r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</w:p>
          <w:p w:rsidR="006D0687" w:rsidRPr="006D0687" w:rsidRDefault="006D0687" w:rsidP="007D5C3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C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Information on aircraft, operation and continuing</w:t>
            </w:r>
            <w:r w:rsid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</w:t>
            </w:r>
            <w:r w:rsidRPr="007D5C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airworthiness management </w:t>
            </w:r>
            <w:proofErr w:type="spellStart"/>
            <w:r w:rsidRPr="007D5C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organisation</w:t>
            </w:r>
            <w:proofErr w:type="spellEnd"/>
            <w:r w:rsidRPr="007D5C3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:</w:t>
            </w:r>
          </w:p>
        </w:tc>
      </w:tr>
      <w:tr w:rsidR="00772C91" w:rsidRPr="00830A7A" w:rsidTr="003E5D6F">
        <w:trPr>
          <w:trHeight w:val="411"/>
        </w:trPr>
        <w:tc>
          <w:tcPr>
            <w:tcW w:w="10631" w:type="dxa"/>
            <w:gridSpan w:val="11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772C91" w:rsidRDefault="00772C91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772C9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Tipo(i) di aeromobili, immatricolazione(i) e base principale:</w:t>
            </w:r>
          </w:p>
          <w:p w:rsidR="00CB6557" w:rsidRPr="00D856C6" w:rsidRDefault="00CB6557" w:rsidP="0037758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it-IT"/>
              </w:rPr>
            </w:pP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Type(s) of aircraft, registration(s) and main base:</w:t>
            </w:r>
          </w:p>
        </w:tc>
      </w:tr>
      <w:tr w:rsidR="00772C91" w:rsidRPr="00830A7A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MSN </w:t>
            </w:r>
            <w:proofErr w:type="gramStart"/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dell'aeromobile</w:t>
            </w:r>
            <w:r w:rsidR="00D5455D"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D5455D"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2)</w:t>
            </w:r>
          </w:p>
          <w:p w:rsidR="006D0687" w:rsidRPr="00676723" w:rsidRDefault="006D0687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Aircraft MSN</w:t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Tipo di aeromobile</w:t>
            </w:r>
          </w:p>
          <w:p w:rsidR="006D0687" w:rsidRPr="00676723" w:rsidRDefault="006D0687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 xml:space="preserve">Aircraft </w:t>
            </w: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type</w:t>
            </w:r>
            <w:proofErr w:type="spellEnd"/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Immatricolazione </w:t>
            </w:r>
            <w:proofErr w:type="gramStart"/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dell'aeromobile</w:t>
            </w:r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D5455D"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3</w:t>
            </w:r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)</w:t>
            </w:r>
          </w:p>
          <w:p w:rsidR="006D0687" w:rsidRPr="00676723" w:rsidRDefault="006D0687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 xml:space="preserve">Aircraft </w:t>
            </w: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Base principale</w:t>
            </w:r>
          </w:p>
          <w:p w:rsidR="006D0687" w:rsidRPr="00676723" w:rsidRDefault="006D0687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Main</w:t>
            </w:r>
            <w:proofErr w:type="spellEnd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 xml:space="preserve"> base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Tipo/tipi di </w:t>
            </w:r>
            <w:proofErr w:type="gramStart"/>
            <w:r w:rsidR="00772C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operazioni</w:t>
            </w:r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D5455D"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4</w:t>
            </w:r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)</w:t>
            </w:r>
          </w:p>
          <w:p w:rsidR="006D0687" w:rsidRPr="00676723" w:rsidRDefault="007D5C3A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Type</w:t>
            </w:r>
            <w:proofErr w:type="spellEnd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 xml:space="preserve">(s) of </w:t>
            </w: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eastAsia="it-IT"/>
              </w:rPr>
              <w:t>operation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676723" w:rsidRDefault="00EE6C31" w:rsidP="00F77C2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Organizzazione responsabile della gestione </w:t>
            </w:r>
            <w:r w:rsidR="00772C9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del mantenimento </w:t>
            </w:r>
            <w:proofErr w:type="gramStart"/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dell'</w:t>
            </w:r>
            <w:proofErr w:type="spellStart"/>
            <w:r w:rsidRPr="0067672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aeronavigabilità</w:t>
            </w:r>
            <w:proofErr w:type="spellEnd"/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D5455D"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5</w:t>
            </w:r>
            <w:r w:rsidRPr="00294C54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it-IT"/>
              </w:rPr>
              <w:t>)</w:t>
            </w:r>
          </w:p>
          <w:p w:rsidR="006D0687" w:rsidRPr="00676723" w:rsidRDefault="006D0687" w:rsidP="00F101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val="en-US" w:eastAsia="it-IT"/>
              </w:rPr>
              <w:t>Organisation</w:t>
            </w:r>
            <w:proofErr w:type="spellEnd"/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val="en-US" w:eastAsia="it-IT"/>
              </w:rPr>
              <w:t xml:space="preserve"> responsible for the continuing</w:t>
            </w:r>
            <w:r w:rsidR="00F1018A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val="en-US" w:eastAsia="it-IT"/>
              </w:rPr>
              <w:t xml:space="preserve"> </w:t>
            </w:r>
            <w:r w:rsidRPr="00676723">
              <w:rPr>
                <w:rFonts w:ascii="Arial Narrow" w:eastAsia="Times New Roman" w:hAnsi="Arial Narrow" w:cs="Arial"/>
                <w:i/>
                <w:color w:val="000000"/>
                <w:sz w:val="14"/>
                <w:szCs w:val="20"/>
                <w:lang w:val="en-US" w:eastAsia="it-IT"/>
              </w:rPr>
              <w:t>airworthiness management</w:t>
            </w:r>
          </w:p>
        </w:tc>
      </w:tr>
      <w:tr w:rsidR="00772C91" w:rsidRPr="00E015F9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72C91" w:rsidRPr="00E015F9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72C91" w:rsidRPr="00E015F9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72C91" w:rsidRPr="00E015F9" w:rsidTr="00D00DD1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D0B7B" w:rsidRPr="00E015F9" w:rsidRDefault="00017234" w:rsidP="00D00DD1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DD0B7B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DD0B7B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72C91" w:rsidRPr="00E015F9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4E300C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4E300C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4E300C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72C91" w:rsidRPr="00E015F9" w:rsidTr="00676723">
        <w:trPr>
          <w:trHeight w:val="411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60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EE6C31" w:rsidRPr="00E015F9" w:rsidRDefault="00017234" w:rsidP="000C3D97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E015F9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EE6C31" w:rsidRPr="00E015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E015F9">
              <w:rPr>
                <w:rFonts w:ascii="Arial Narrow" w:hAnsi="Arial Narrow" w:cs="Arial"/>
                <w:sz w:val="20"/>
              </w:rPr>
            </w:r>
            <w:r w:rsidRPr="00E015F9">
              <w:rPr>
                <w:rFonts w:ascii="Arial Narrow" w:hAnsi="Arial Narrow" w:cs="Arial"/>
                <w:sz w:val="20"/>
              </w:rPr>
              <w:fldChar w:fldCharType="separate"/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="00EE6C31" w:rsidRPr="00E015F9">
              <w:rPr>
                <w:rFonts w:ascii="Arial Narrow" w:hAnsi="Arial" w:cs="Arial"/>
                <w:noProof/>
                <w:sz w:val="20"/>
              </w:rPr>
              <w:t> </w:t>
            </w:r>
            <w:r w:rsidRPr="00E015F9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5455D" w:rsidRPr="00830A7A" w:rsidTr="00821358">
        <w:trPr>
          <w:trHeight w:val="515"/>
        </w:trPr>
        <w:tc>
          <w:tcPr>
            <w:tcW w:w="10631" w:type="dxa"/>
            <w:gridSpan w:val="11"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5455D" w:rsidRPr="00D856C6" w:rsidRDefault="00772C91" w:rsidP="00D5455D">
            <w:pPr>
              <w:pStyle w:val="Default"/>
              <w:rPr>
                <w:rFonts w:ascii="Arial" w:hAnsi="Arial" w:cs="Arial"/>
                <w:sz w:val="20"/>
              </w:rPr>
            </w:pPr>
            <w:r w:rsidRPr="00D856C6">
              <w:rPr>
                <w:rFonts w:ascii="Arial" w:hAnsi="Arial" w:cs="Arial"/>
                <w:sz w:val="20"/>
              </w:rPr>
              <w:t xml:space="preserve">L’operatore deve ottenere un’approvazione </w:t>
            </w:r>
            <w:r w:rsidR="00B616B1" w:rsidRPr="00D856C6">
              <w:rPr>
                <w:rFonts w:ascii="Arial" w:hAnsi="Arial" w:cs="Arial"/>
                <w:sz w:val="20"/>
              </w:rPr>
              <w:t>preventiva</w:t>
            </w:r>
            <w:r w:rsidR="00B616B1" w:rsidRPr="00D856C6">
              <w:rPr>
                <w:rFonts w:ascii="Arial" w:hAnsi="Arial" w:cs="Arial"/>
                <w:sz w:val="20"/>
                <w:vertAlign w:val="superscript"/>
              </w:rPr>
              <w:t xml:space="preserve"> (</w:t>
            </w:r>
            <w:r w:rsidRPr="00D856C6">
              <w:rPr>
                <w:rFonts w:ascii="Arial" w:hAnsi="Arial" w:cs="Arial"/>
                <w:sz w:val="20"/>
                <w:vertAlign w:val="superscript"/>
              </w:rPr>
              <w:t>6)</w:t>
            </w:r>
            <w:r w:rsidRPr="00D856C6">
              <w:rPr>
                <w:rFonts w:ascii="Arial" w:hAnsi="Arial" w:cs="Arial"/>
                <w:sz w:val="20"/>
              </w:rPr>
              <w:t xml:space="preserve"> o </w:t>
            </w:r>
            <w:r w:rsidR="00B616B1" w:rsidRPr="00D856C6">
              <w:rPr>
                <w:rFonts w:ascii="Arial" w:hAnsi="Arial" w:cs="Arial"/>
                <w:sz w:val="20"/>
              </w:rPr>
              <w:t>specifica</w:t>
            </w:r>
            <w:r w:rsidR="00B616B1" w:rsidRPr="00D856C6">
              <w:rPr>
                <w:rFonts w:ascii="Arial" w:hAnsi="Arial" w:cs="Arial"/>
                <w:sz w:val="20"/>
                <w:vertAlign w:val="superscript"/>
              </w:rPr>
              <w:t xml:space="preserve"> (</w:t>
            </w:r>
            <w:r w:rsidRPr="00D856C6">
              <w:rPr>
                <w:rFonts w:ascii="Arial" w:hAnsi="Arial" w:cs="Arial"/>
                <w:sz w:val="20"/>
                <w:vertAlign w:val="superscript"/>
              </w:rPr>
              <w:t>7)</w:t>
            </w:r>
            <w:r w:rsidRPr="00D856C6">
              <w:rPr>
                <w:rFonts w:ascii="Arial" w:hAnsi="Arial" w:cs="Arial"/>
                <w:sz w:val="20"/>
              </w:rPr>
              <w:t xml:space="preserve"> per determinate operazioni prima di effettuarle.</w:t>
            </w:r>
          </w:p>
          <w:p w:rsidR="00D5455D" w:rsidRPr="00D856C6" w:rsidRDefault="00D856C6" w:rsidP="000C3D97">
            <w:pPr>
              <w:spacing w:after="0" w:line="240" w:lineRule="auto"/>
              <w:rPr>
                <w:rFonts w:ascii="Arial Narrow" w:hAnsi="Arial Narrow" w:cs="Arial"/>
                <w:sz w:val="20"/>
                <w:lang w:val="en-US"/>
              </w:rPr>
            </w:pP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The operator shall obtain a prior </w:t>
            </w:r>
            <w:r w:rsidR="00B616B1"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approval </w:t>
            </w:r>
            <w:r w:rsidR="00B616B1" w:rsidRPr="00272E4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vertAlign w:val="superscript"/>
                <w:lang w:val="en-US" w:eastAsia="it-IT"/>
              </w:rPr>
              <w:t>(</w:t>
            </w:r>
            <w:r w:rsidRPr="00272E4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vertAlign w:val="superscript"/>
                <w:lang w:val="en-US" w:eastAsia="it-IT"/>
              </w:rPr>
              <w:t>6)</w:t>
            </w: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or specific </w:t>
            </w:r>
            <w:r w:rsidR="00B616B1"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approval </w:t>
            </w:r>
            <w:r w:rsidR="00B616B1" w:rsidRPr="00272E4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vertAlign w:val="superscript"/>
                <w:lang w:val="en-US" w:eastAsia="it-IT"/>
              </w:rPr>
              <w:t>(</w:t>
            </w:r>
            <w:r w:rsidRPr="00272E41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vertAlign w:val="superscript"/>
                <w:lang w:val="en-US" w:eastAsia="it-IT"/>
              </w:rPr>
              <w:t>7)</w:t>
            </w: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for certain operations before conducting such operations.</w:t>
            </w:r>
          </w:p>
        </w:tc>
      </w:tr>
      <w:tr w:rsidR="00BF1217" w:rsidRPr="00830A7A" w:rsidTr="00377588">
        <w:trPr>
          <w:trHeight w:val="447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856C6" w:rsidRPr="00D856C6" w:rsidRDefault="00D856C6" w:rsidP="00D85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Ove applicabile, i dettagli delle approvazioni detenute. Allegare alla dichiarazione l’elenco delle approvazioni specifiche. Includere:</w:t>
            </w:r>
          </w:p>
          <w:p w:rsidR="00D856C6" w:rsidRPr="00D856C6" w:rsidRDefault="00D856C6" w:rsidP="00D85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 le approvazioni specifiche rilasciate da un paese terzo, se applicabile;</w:t>
            </w:r>
          </w:p>
          <w:p w:rsidR="00EE6C31" w:rsidRPr="00EE6C31" w:rsidRDefault="00D856C6" w:rsidP="00D856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— i nomi delle operazioni effettuate con crediti operativi (ad esempio EFVS 200, SA CAT I ecc.).</w:t>
            </w:r>
            <w:r w:rsidR="00EE6C31"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F1018A" w:rsidRPr="00F1018A" w:rsidRDefault="00F1018A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</w:pPr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Where applicable, details of approvals held. Attach the list of specific approvals. Include:</w:t>
            </w:r>
          </w:p>
          <w:p w:rsidR="00F1018A" w:rsidRPr="00F1018A" w:rsidRDefault="00F1018A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</w:pPr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— specific approvals granted by a third country, if applicable;</w:t>
            </w:r>
          </w:p>
          <w:p w:rsidR="00BF1217" w:rsidRPr="006D0687" w:rsidRDefault="00F1018A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— </w:t>
            </w:r>
            <w:proofErr w:type="gramStart"/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name</w:t>
            </w:r>
            <w:proofErr w:type="gramEnd"/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of operations conducted with operational credits (e.g. EFVS 200, SA CAT I, etc.).</w:t>
            </w:r>
          </w:p>
        </w:tc>
      </w:tr>
      <w:tr w:rsidR="00BF1217" w:rsidRPr="00BF1217" w:rsidTr="00821358">
        <w:trPr>
          <w:trHeight w:val="411"/>
        </w:trPr>
        <w:tc>
          <w:tcPr>
            <w:tcW w:w="10631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017234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1217" w:rsidRPr="00830A7A" w:rsidTr="000D7164">
        <w:trPr>
          <w:trHeight w:val="399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E6C31" w:rsidRPr="00EE6C31" w:rsidRDefault="00D856C6" w:rsidP="005143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Ove applicabile, i dettagli dell’autorizzazione di operazioni specializzate detenuta (allegare l’autorizzazione/le autorizzazioni, se del caso).</w:t>
            </w:r>
            <w:r w:rsidR="00EE6C31" w:rsidRPr="00EE6C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BF1217" w:rsidRPr="006D0687" w:rsidRDefault="006D0687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16007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Where applicable, details of </w:t>
            </w:r>
            <w:r w:rsid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specialized </w:t>
            </w:r>
            <w:r w:rsidRPr="0016007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operations </w:t>
            </w:r>
            <w:proofErr w:type="spellStart"/>
            <w:r w:rsidRPr="0016007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authorisation</w:t>
            </w:r>
            <w:proofErr w:type="spellEnd"/>
            <w:r w:rsidRPr="0016007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held (attach </w:t>
            </w:r>
            <w:r w:rsidR="009C794E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authorization(s)</w:t>
            </w:r>
            <w:r w:rsidRPr="00160073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, if applicable).</w:t>
            </w:r>
          </w:p>
        </w:tc>
      </w:tr>
      <w:tr w:rsidR="00BF1217" w:rsidRPr="00BF1217" w:rsidTr="00821358">
        <w:trPr>
          <w:trHeight w:val="355"/>
        </w:trPr>
        <w:tc>
          <w:tcPr>
            <w:tcW w:w="10631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017234" w:rsidP="0037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F1217" w:rsidRPr="00830A7A" w:rsidTr="000D7164">
        <w:trPr>
          <w:trHeight w:val="641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D856C6" w:rsidRDefault="00D856C6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Ove applicabile, l’elenco dei metodi alternativi di rispondenza (</w:t>
            </w:r>
            <w:proofErr w:type="spellStart"/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AltMoC</w:t>
            </w:r>
            <w:proofErr w:type="spellEnd"/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) con riferimento agli AMC associati da essi sostituiti (allegare </w:t>
            </w:r>
            <w:proofErr w:type="spellStart"/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AltMoC</w:t>
            </w:r>
            <w:proofErr w:type="spellEnd"/>
            <w:r w:rsidRPr="00D85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).</w:t>
            </w:r>
          </w:p>
          <w:p w:rsidR="00BF1217" w:rsidRPr="00D856C6" w:rsidRDefault="006D0687" w:rsidP="00F1018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Where applicable, list of alternative means of compliance</w:t>
            </w:r>
            <w:r w:rsidR="00D5455D"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(</w:t>
            </w:r>
            <w:proofErr w:type="spellStart"/>
            <w:r w:rsidR="00D5455D"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AltMoC</w:t>
            </w:r>
            <w:proofErr w:type="spellEnd"/>
            <w:r w:rsidR="00D5455D"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)</w:t>
            </w:r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with references to the associated AMC they replace (attach </w:t>
            </w:r>
            <w:proofErr w:type="spellStart"/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AltMoC</w:t>
            </w:r>
            <w:proofErr w:type="spellEnd"/>
            <w:r w:rsidRPr="00D856C6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).</w:t>
            </w:r>
          </w:p>
        </w:tc>
      </w:tr>
      <w:tr w:rsidR="00D17D71" w:rsidRPr="00BF1217" w:rsidTr="00821358">
        <w:trPr>
          <w:trHeight w:val="459"/>
        </w:trPr>
        <w:tc>
          <w:tcPr>
            <w:tcW w:w="10631" w:type="dxa"/>
            <w:gridSpan w:val="11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17D71" w:rsidRPr="00D856C6" w:rsidRDefault="00017234" w:rsidP="008213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Prima maiuscola"/>
                  </w:textInput>
                </w:ffData>
              </w:fldChar>
            </w:r>
            <w:r w:rsidR="00850FE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 w:rsidR="00850FE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 </w:t>
            </w:r>
            <w:r w:rsidR="00D5455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</w:tr>
      <w:tr w:rsidR="00BF1217" w:rsidRPr="00BF1217" w:rsidTr="00377588">
        <w:trPr>
          <w:trHeight w:val="350"/>
        </w:trPr>
        <w:tc>
          <w:tcPr>
            <w:tcW w:w="10631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BF1217" w:rsidRDefault="00BF1217" w:rsidP="00377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DICHIARAZIONI</w:t>
            </w:r>
            <w:r w:rsidRPr="00BF12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20"/>
                <w:lang w:eastAsia="it-IT"/>
              </w:rPr>
              <w:t>STATEMENTS</w:t>
            </w:r>
          </w:p>
        </w:tc>
      </w:tr>
      <w:tr w:rsidR="00BF1217" w:rsidRPr="00830A7A" w:rsidTr="006B4C60">
        <w:trPr>
          <w:trHeight w:val="942"/>
        </w:trPr>
        <w:tc>
          <w:tcPr>
            <w:tcW w:w="1063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720B3" w:rsidRPr="00554825" w:rsidRDefault="00017234" w:rsidP="00D856C6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7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6C6" w:rsidRPr="00D856C6">
              <w:rPr>
                <w:rFonts w:ascii="Arial" w:hAnsi="Arial" w:cs="Arial"/>
                <w:sz w:val="20"/>
                <w:szCs w:val="20"/>
              </w:rPr>
              <w:t>L’operatore è conforme, e continua a essere conforme, ai requisiti essenziali di cui all’allegato V del regolamento (UE) 2018/1139 del Parlamento europeo e del Consiglio e ai requisiti del regolamento (UE) n. 965/2012.</w:t>
            </w:r>
            <w:r w:rsidR="00C720B3" w:rsidRPr="006A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The operator complies, and continues to comply, with the essential requirements set out in Annex V to Regulation (EU) 2018/1139 of the European Parliament and of the Council and with the requirements of Regulation (EU) No 965/2012.</w:t>
            </w:r>
          </w:p>
        </w:tc>
      </w:tr>
      <w:tr w:rsidR="00BF1217" w:rsidRPr="00830A7A" w:rsidTr="00377588">
        <w:trPr>
          <w:trHeight w:val="765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6D0687" w:rsidRDefault="00017234" w:rsidP="00D856C6">
            <w:pPr>
              <w:spacing w:after="12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6C6" w:rsidRPr="00D856C6">
              <w:rPr>
                <w:rFonts w:ascii="Arial" w:hAnsi="Arial" w:cs="Arial"/>
                <w:sz w:val="20"/>
                <w:szCs w:val="20"/>
              </w:rPr>
              <w:t xml:space="preserve">La documentazione del sistema di gestione, compreso il manuale delle operazioni, è conforme ai requisiti dell’allegato III (parte ORO), dell’allegato V (parte </w:t>
            </w:r>
            <w:proofErr w:type="spellStart"/>
            <w:r w:rsidR="00D856C6" w:rsidRPr="00D856C6">
              <w:rPr>
                <w:rFonts w:ascii="Arial" w:hAnsi="Arial" w:cs="Arial"/>
                <w:sz w:val="20"/>
                <w:szCs w:val="20"/>
              </w:rPr>
              <w:t>SpA</w:t>
            </w:r>
            <w:proofErr w:type="spellEnd"/>
            <w:r w:rsidR="00D856C6" w:rsidRPr="00D856C6">
              <w:rPr>
                <w:rFonts w:ascii="Arial" w:hAnsi="Arial" w:cs="Arial"/>
                <w:sz w:val="20"/>
                <w:szCs w:val="20"/>
              </w:rPr>
              <w:t>), dell’allegato VI (parte NCC) o dell’allegato VIII (parte SPO) del regolamento (UE) n. 965/2012 della Commissione e tutti i voli sono effettuati in conformità alle disposizioni del manuale delle operazioni come previ</w:t>
            </w:r>
            <w:r w:rsidR="0006197F">
              <w:rPr>
                <w:rFonts w:ascii="Arial" w:hAnsi="Arial" w:cs="Arial"/>
                <w:sz w:val="20"/>
                <w:szCs w:val="20"/>
              </w:rPr>
              <w:t>sto nella parte ORO, norma ORO.</w:t>
            </w:r>
            <w:r w:rsidR="00D856C6" w:rsidRPr="00D856C6">
              <w:rPr>
                <w:rFonts w:ascii="Arial" w:hAnsi="Arial" w:cs="Arial"/>
                <w:sz w:val="20"/>
                <w:szCs w:val="20"/>
              </w:rPr>
              <w:t>GEN.110, lettera b).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The management system documentation, including the operations manual, shall comply with the requirements of Annex III (Part-ORO), Annex V (Part-SPA), Annex VI (Part-NCC) or Annex VIII (Part-SPO) to Commission Regulation (EU) No 965/2012 and all flights shall be made in accordance with the provisions of the operations manual as required by point ORO.GEN.110(b) of Part-ORO.</w:t>
            </w:r>
          </w:p>
        </w:tc>
      </w:tr>
      <w:tr w:rsidR="00BF1217" w:rsidRPr="00830A7A" w:rsidTr="00377588">
        <w:trPr>
          <w:trHeight w:val="750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F23526" w:rsidRPr="00F23526" w:rsidRDefault="00017234" w:rsidP="00F23526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7D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1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526" w:rsidRPr="00F23526">
              <w:rPr>
                <w:rFonts w:ascii="Arial" w:hAnsi="Arial" w:cs="Arial"/>
                <w:sz w:val="20"/>
                <w:szCs w:val="20"/>
              </w:rPr>
              <w:t>Tutti gli aeromobili utilizzati sono dotati:</w:t>
            </w:r>
          </w:p>
          <w:p w:rsidR="00F23526" w:rsidRPr="00F23526" w:rsidRDefault="00F23526" w:rsidP="00B616B1">
            <w:pPr>
              <w:spacing w:after="0" w:line="240" w:lineRule="auto"/>
              <w:ind w:left="69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526">
              <w:rPr>
                <w:rFonts w:ascii="Arial" w:hAnsi="Arial" w:cs="Arial"/>
                <w:sz w:val="20"/>
                <w:szCs w:val="20"/>
              </w:rPr>
              <w:t xml:space="preserve">— di un certificato di </w:t>
            </w:r>
            <w:proofErr w:type="spellStart"/>
            <w:r w:rsidRPr="00F23526">
              <w:rPr>
                <w:rFonts w:ascii="Arial" w:hAnsi="Arial" w:cs="Arial"/>
                <w:sz w:val="20"/>
                <w:szCs w:val="20"/>
              </w:rPr>
              <w:t>aeronavigabilità</w:t>
            </w:r>
            <w:proofErr w:type="spellEnd"/>
            <w:r w:rsidRPr="00F23526">
              <w:rPr>
                <w:rFonts w:ascii="Arial" w:hAnsi="Arial" w:cs="Arial"/>
                <w:sz w:val="20"/>
                <w:szCs w:val="20"/>
              </w:rPr>
              <w:t xml:space="preserve"> valido conformemente al regolamento (UE) n. 748/2012 della Commissione o, per gli aeromobili immatricolati in un paese terzo, conformemente all’annesso 8 dell’ICAO; e</w:t>
            </w:r>
          </w:p>
          <w:p w:rsidR="00F1018A" w:rsidRPr="00F1018A" w:rsidRDefault="00F23526" w:rsidP="00B616B1">
            <w:pPr>
              <w:spacing w:after="0" w:line="240" w:lineRule="auto"/>
              <w:ind w:left="357" w:firstLine="56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</w:pPr>
            <w:r w:rsidRPr="00F23526">
              <w:rPr>
                <w:rFonts w:ascii="Arial" w:hAnsi="Arial" w:cs="Arial"/>
                <w:sz w:val="20"/>
                <w:szCs w:val="20"/>
              </w:rPr>
              <w:t>— se utilizzati per attività SPO, di un contratto di noleggio valid</w:t>
            </w:r>
            <w:r>
              <w:rPr>
                <w:rFonts w:ascii="Arial" w:hAnsi="Arial" w:cs="Arial"/>
                <w:sz w:val="20"/>
                <w:szCs w:val="20"/>
              </w:rPr>
              <w:t>o di cui alla norma ORO.SPO.100</w:t>
            </w:r>
            <w:r w:rsidR="00EE6C31" w:rsidRPr="006D068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</w:t>
            </w:r>
            <w:r w:rsidR="00BF1217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All operated aircraft shall hold:</w:t>
            </w:r>
          </w:p>
          <w:p w:rsidR="00F1018A" w:rsidRPr="00F1018A" w:rsidRDefault="00F1018A" w:rsidP="00B616B1">
            <w:pPr>
              <w:spacing w:after="0" w:line="240" w:lineRule="auto"/>
              <w:ind w:left="697" w:hanging="284"/>
              <w:jc w:val="both"/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</w:pPr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— a valid certificate of airworthiness in accordance with Commission Regulation (EU) No 748/2012 or, for aircraft registered in a third country, in accordance with ICAO Annex 8; and</w:t>
            </w:r>
          </w:p>
          <w:p w:rsidR="00BF1217" w:rsidRPr="006D0687" w:rsidRDefault="00F1018A" w:rsidP="00F1018A">
            <w:pPr>
              <w:spacing w:after="120" w:line="240" w:lineRule="auto"/>
              <w:ind w:left="357" w:firstLine="5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— </w:t>
            </w:r>
            <w:proofErr w:type="gramStart"/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when</w:t>
            </w:r>
            <w:proofErr w:type="gramEnd"/>
            <w:r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used for SPO activities, a valid lease agreement as per ORO.SPO.100.</w:t>
            </w:r>
          </w:p>
        </w:tc>
      </w:tr>
      <w:tr w:rsidR="00EE6C31" w:rsidRPr="00830A7A" w:rsidTr="00377588">
        <w:trPr>
          <w:trHeight w:val="750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EE6C31" w:rsidRDefault="00017234" w:rsidP="00514327">
            <w:p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C31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3526" w:rsidRPr="00F23526">
              <w:rPr>
                <w:rFonts w:ascii="Arial" w:hAnsi="Arial" w:cs="Arial"/>
                <w:sz w:val="20"/>
                <w:szCs w:val="20"/>
              </w:rPr>
              <w:t>Tutti i membri dell’equipaggio di condotta sono titolari di una licenza conformemente all’allegato I del regolamento (UE) n. 1178/2011 della Commissione, come previsto nella parte ORO, norma ORO. FC.100, lettera c), e i membri dell’equipaggio di cabina, ove applicabile, sono addestrati conformemente alla parte ORO, capo CC.</w:t>
            </w:r>
          </w:p>
          <w:p w:rsidR="006D0687" w:rsidRPr="006D0687" w:rsidRDefault="006D0687">
            <w:pPr>
              <w:spacing w:after="12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0073">
              <w:rPr>
                <w:sz w:val="19"/>
                <w:szCs w:val="19"/>
              </w:rPr>
              <w:tab/>
            </w:r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All flight </w:t>
            </w:r>
            <w:proofErr w:type="gram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crew members</w:t>
            </w:r>
            <w:proofErr w:type="gram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shall hold a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licence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in accordance with Annex I to Commission Regulation (EU) No 1178/2011 as required by point ORO.FC.100(c) of Part-ORO, and cabin crew members shall, where applicable, be trained in accordance with Subpart CC of Part-ORO.</w:t>
            </w:r>
          </w:p>
        </w:tc>
      </w:tr>
      <w:tr w:rsidR="00D17D71" w:rsidRPr="00830A7A" w:rsidTr="00C720B3">
        <w:trPr>
          <w:trHeight w:val="686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C1550B" w:rsidRDefault="00017234" w:rsidP="00514327">
            <w:pPr>
              <w:spacing w:after="0" w:line="240" w:lineRule="auto"/>
              <w:ind w:left="355" w:hanging="355"/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D71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17D71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7D71" w:rsidRPr="00D17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17D71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(Se </w:t>
            </w:r>
            <w:r w:rsidR="00F23526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applicabile</w:t>
            </w:r>
            <w:r w:rsidR="00890A4F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/</w:t>
            </w:r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If</w:t>
            </w:r>
            <w:proofErr w:type="spellEnd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</w:t>
            </w:r>
            <w:proofErr w:type="spellStart"/>
            <w:r w:rsidR="00890A4F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applicable</w:t>
            </w:r>
            <w:proofErr w:type="spellEnd"/>
            <w:r w:rsidR="00D17D71" w:rsidRPr="00BF1217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>)</w:t>
            </w:r>
          </w:p>
          <w:p w:rsidR="00D17D71" w:rsidRPr="00BF1217" w:rsidRDefault="00C1550B" w:rsidP="00F23526">
            <w:pPr>
              <w:spacing w:after="120" w:line="240" w:lineRule="auto"/>
              <w:ind w:left="357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F23526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     </w:t>
            </w:r>
            <w:r w:rsidR="00D17D71" w:rsidRPr="00F23526">
              <w:rPr>
                <w:rFonts w:ascii="Arial" w:eastAsia="Times New Roman" w:hAnsi="Arial" w:cs="Arial"/>
                <w:color w:val="000000"/>
                <w:sz w:val="16"/>
                <w:szCs w:val="20"/>
                <w:lang w:eastAsia="it-IT"/>
              </w:rPr>
              <w:t xml:space="preserve"> </w:t>
            </w:r>
            <w:r w:rsidR="00D17D71" w:rsidRPr="00F2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23526" w:rsidRPr="00F2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L’operatore attua e dimostra la conformità a una norma riconosciuta dal settore.</w:t>
            </w:r>
            <w:r w:rsidR="00D17D71" w:rsidRPr="00F23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The operator shall implement and demonstrate conformity to a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recognised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industry standard.</w:t>
            </w:r>
          </w:p>
        </w:tc>
      </w:tr>
      <w:tr w:rsidR="00C720B3" w:rsidRPr="00BF1217" w:rsidTr="00821358">
        <w:trPr>
          <w:trHeight w:val="413"/>
        </w:trPr>
        <w:tc>
          <w:tcPr>
            <w:tcW w:w="4168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hideMark/>
          </w:tcPr>
          <w:p w:rsidR="00C720B3" w:rsidRPr="00BF1217" w:rsidRDefault="00F23526" w:rsidP="00F23526">
            <w:p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Riferimento alla</w:t>
            </w:r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norma</w:t>
            </w:r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</w:t>
            </w:r>
            <w:r w:rsidR="00C72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720B3"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C720B3"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Reference of the standard</w:t>
            </w:r>
          </w:p>
        </w:tc>
        <w:tc>
          <w:tcPr>
            <w:tcW w:w="6463" w:type="dxa"/>
            <w:gridSpan w:val="5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C720B3" w:rsidRPr="00BF1217" w:rsidRDefault="00017234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720B3" w:rsidRPr="00BF1217" w:rsidTr="00821358">
        <w:trPr>
          <w:trHeight w:val="421"/>
        </w:trPr>
        <w:tc>
          <w:tcPr>
            <w:tcW w:w="4168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hideMark/>
          </w:tcPr>
          <w:p w:rsidR="00C720B3" w:rsidRPr="00BF1217" w:rsidRDefault="00C720B3" w:rsidP="00160073">
            <w:p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Organismo di certificazione: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Certification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body</w:t>
            </w:r>
          </w:p>
        </w:tc>
        <w:tc>
          <w:tcPr>
            <w:tcW w:w="6463" w:type="dxa"/>
            <w:gridSpan w:val="5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</w:tcPr>
          <w:p w:rsidR="00C720B3" w:rsidRPr="00BF1217" w:rsidRDefault="00017234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C720B3" w:rsidRPr="00BF1217" w:rsidTr="00821358">
        <w:trPr>
          <w:trHeight w:val="425"/>
        </w:trPr>
        <w:tc>
          <w:tcPr>
            <w:tcW w:w="4168" w:type="dxa"/>
            <w:gridSpan w:val="6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:rsidR="00C720B3" w:rsidRPr="00BF1217" w:rsidRDefault="00C720B3" w:rsidP="00554825">
            <w:pPr>
              <w:spacing w:after="0" w:line="240" w:lineRule="auto"/>
              <w:ind w:left="3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Data dell’ultim</w:t>
            </w:r>
            <w:r w:rsidR="00454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54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verifica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</w:t>
            </w:r>
            <w:r w:rsidR="0055482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ella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conformità: </w:t>
            </w:r>
            <w:r w:rsidRPr="00BF1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Date of the last </w:t>
            </w:r>
            <w:proofErr w:type="spellStart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conform</w:t>
            </w:r>
            <w:r w:rsidR="006D068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ity</w:t>
            </w:r>
            <w:proofErr w:type="spellEnd"/>
            <w:r w:rsidRPr="00BF1217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audit</w:t>
            </w:r>
          </w:p>
        </w:tc>
        <w:tc>
          <w:tcPr>
            <w:tcW w:w="6463" w:type="dxa"/>
            <w:gridSpan w:val="5"/>
            <w:tcBorders>
              <w:top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720B3" w:rsidRPr="00BF1217" w:rsidRDefault="00017234" w:rsidP="00DF031B">
            <w:pPr>
              <w:spacing w:after="0" w:line="240" w:lineRule="auto"/>
              <w:ind w:left="71" w:hanging="71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C720B3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="00C720B3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</w:tc>
      </w:tr>
      <w:tr w:rsidR="00BF1217" w:rsidRPr="00830A7A" w:rsidTr="00377588">
        <w:trPr>
          <w:trHeight w:val="765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3762C0" w:rsidRDefault="00017234" w:rsidP="003762C0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217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1217" w:rsidRPr="00B5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13" w:rsidRPr="00B5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526" w:rsidRPr="00F23526">
              <w:rPr>
                <w:rFonts w:ascii="Arial" w:hAnsi="Arial" w:cs="Arial"/>
                <w:sz w:val="20"/>
                <w:szCs w:val="20"/>
              </w:rPr>
              <w:t xml:space="preserve">L’operatore comunica all’autorità competente qualsiasi cambiamento di circostanze che influenzi la sua conformità ai requisiti essenziali di cui all’allegato V del regolamento (UE) 2018/1139 e ai requisiti del regolamento (UE) n. 965/2012 della Commissione, come dichiarata all’autorità competente mediante la presente dichiarazione, e qualsiasi modifica delle informazioni e degli elenchi di </w:t>
            </w:r>
            <w:proofErr w:type="spellStart"/>
            <w:r w:rsidR="00F23526" w:rsidRPr="00F23526">
              <w:rPr>
                <w:rFonts w:ascii="Arial" w:hAnsi="Arial" w:cs="Arial"/>
                <w:sz w:val="20"/>
                <w:szCs w:val="20"/>
              </w:rPr>
              <w:t>AltMoC</w:t>
            </w:r>
            <w:proofErr w:type="spellEnd"/>
            <w:r w:rsidR="00F23526" w:rsidRPr="00F23526">
              <w:rPr>
                <w:rFonts w:ascii="Arial" w:hAnsi="Arial" w:cs="Arial"/>
                <w:sz w:val="20"/>
                <w:szCs w:val="20"/>
              </w:rPr>
              <w:t xml:space="preserve"> inclusi nella presente dichiarazione o ad essa allegati, come previsto nella parte ORO, norma ORO.GEN.120, lettera a).</w:t>
            </w:r>
          </w:p>
          <w:p w:rsidR="00BF1217" w:rsidRPr="006D0687" w:rsidRDefault="003762C0" w:rsidP="003762C0">
            <w:pPr>
              <w:spacing w:after="120" w:line="240" w:lineRule="auto"/>
              <w:ind w:left="357" w:hanging="8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0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The operator shall notify to the competent authority any changes in circumstances affecting its compliance with the essential requirements set out in Annex V to Regulation (EU) 2018/1139 and with the requirements of Commission Regulation (EU) No 965/2012 as declared to the competent authority through this declaration, and any changes to the information and lists of </w:t>
            </w:r>
            <w:proofErr w:type="spellStart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AltMoC</w:t>
            </w:r>
            <w:proofErr w:type="spellEnd"/>
            <w:r w:rsidR="00F1018A" w:rsidRPr="00F1018A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 xml:space="preserve"> included in and annexed to this declaration, as required by point ORO.GEN.120(a) of Part-ORO.</w:t>
            </w:r>
            <w:proofErr w:type="gramEnd"/>
          </w:p>
        </w:tc>
      </w:tr>
      <w:tr w:rsidR="00BF1217" w:rsidRPr="00830A7A" w:rsidTr="00671838">
        <w:trPr>
          <w:trHeight w:val="606"/>
        </w:trPr>
        <w:tc>
          <w:tcPr>
            <w:tcW w:w="1063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F1217" w:rsidRPr="006D0687" w:rsidRDefault="00017234" w:rsidP="006D0687">
            <w:pPr>
              <w:spacing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08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6E8" w:rsidRPr="00F308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635D">
              <w:rPr>
                <w:rFonts w:ascii="Arial" w:hAnsi="Arial" w:cs="Arial"/>
                <w:sz w:val="20"/>
                <w:szCs w:val="20"/>
              </w:rPr>
            </w:r>
            <w:r w:rsidR="00BC63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08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0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C31" w:rsidRPr="0046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L'operatore conferma che le informazioni comunicate nella presente dichiarazione sono corrette.</w:t>
            </w:r>
            <w:r w:rsidR="00BF1217" w:rsidRPr="0046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C8018C" w:rsidRPr="00C8018C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val="en-US" w:eastAsia="it-IT"/>
              </w:rPr>
              <w:t>The operator shall confirm that the information disclosed in this declaration is correct.</w:t>
            </w:r>
          </w:p>
        </w:tc>
      </w:tr>
      <w:tr w:rsidR="00B53797" w:rsidRPr="00BF1217" w:rsidTr="00FD32C6">
        <w:trPr>
          <w:trHeight w:val="1396"/>
        </w:trPr>
        <w:tc>
          <w:tcPr>
            <w:tcW w:w="29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017234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A628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 w:rsidR="006A628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Data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Date</w:t>
            </w:r>
          </w:p>
        </w:tc>
        <w:tc>
          <w:tcPr>
            <w:tcW w:w="29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3797" w:rsidRDefault="00017234" w:rsidP="003339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085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B53797" w:rsidRPr="00F3085A">
              <w:rPr>
                <w:rFonts w:ascii="Arial" w:hAnsi="Arial" w:cs="Arial"/>
              </w:rPr>
              <w:instrText xml:space="preserve"> FORMTEXT </w:instrText>
            </w:r>
            <w:r w:rsidRPr="00F3085A">
              <w:rPr>
                <w:rFonts w:ascii="Arial" w:hAnsi="Arial" w:cs="Arial"/>
              </w:rPr>
            </w:r>
            <w:r w:rsidRPr="00F3085A">
              <w:rPr>
                <w:rFonts w:ascii="Arial" w:hAnsi="Arial" w:cs="Arial"/>
              </w:rPr>
              <w:fldChar w:fldCharType="separate"/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="00B53797" w:rsidRPr="00F3085A">
              <w:rPr>
                <w:rFonts w:ascii="Arial" w:hAnsi="Arial" w:cs="Arial"/>
                <w:noProof/>
              </w:rPr>
              <w:t> </w:t>
            </w:r>
            <w:r w:rsidRPr="00F3085A">
              <w:rPr>
                <w:rFonts w:ascii="Arial" w:hAnsi="Arial" w:cs="Arial"/>
              </w:rPr>
              <w:fldChar w:fldCharType="end"/>
            </w: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Pr="003339B0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</w:pPr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4"/>
                <w:lang w:eastAsia="it-IT"/>
              </w:rPr>
              <w:t>Nome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>Name</w:t>
            </w:r>
            <w:proofErr w:type="spellEnd"/>
          </w:p>
        </w:tc>
        <w:tc>
          <w:tcPr>
            <w:tcW w:w="47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</w:p>
          <w:p w:rsidR="00B5379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</w:pPr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t xml:space="preserve">………………………….…… </w:t>
            </w:r>
            <w:r w:rsidRPr="00BF1217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it-IT"/>
              </w:rPr>
              <w:br/>
            </w:r>
            <w:r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Firma</w:t>
            </w:r>
            <w:r w:rsidR="003339B0" w:rsidRPr="003339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del Dirigente Responsabile</w:t>
            </w:r>
          </w:p>
          <w:p w:rsidR="00B53797" w:rsidRPr="00BF1217" w:rsidRDefault="00B53797" w:rsidP="003339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Signature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of the </w:t>
            </w:r>
            <w:proofErr w:type="spellStart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>accountable</w:t>
            </w:r>
            <w:proofErr w:type="spellEnd"/>
            <w:r w:rsidR="003339B0" w:rsidRPr="003339B0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it-IT"/>
              </w:rPr>
              <w:t xml:space="preserve"> manager</w:t>
            </w:r>
          </w:p>
        </w:tc>
      </w:tr>
      <w:tr w:rsidR="00FD32C6" w:rsidRPr="00830A7A" w:rsidTr="00FD32C6">
        <w:trPr>
          <w:trHeight w:val="1396"/>
        </w:trPr>
        <w:tc>
          <w:tcPr>
            <w:tcW w:w="1063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3526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Se lo spazio disponibile nella dichiarazione non è sufficiente per elencare le informazioni richieste, queste devono essere elencate in un allegato a parte. L’allegato deve essere datato e firmato.</w:t>
            </w:r>
          </w:p>
          <w:p w:rsidR="00F23526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Numero di serie del costruttore.</w:t>
            </w:r>
          </w:p>
          <w:p w:rsidR="00F23526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Se l’aeromobile è registrato anche presso un titolare di COA, specificare il numero di COA di tale titolare.</w:t>
            </w:r>
          </w:p>
          <w:p w:rsidR="00F23526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 xml:space="preserve">«Tipo/tipi di operazioni» si riferisce al tipo di operazioni effettuate con tale aeromobile, ad esempio operazioni non commerciali o operazioni specializzate quali voli per la fotografia aerea o per la pubblicità aerea, voli per attività giornalistiche, televisive o cinematografiche, operazioni con paracadute, </w:t>
            </w:r>
            <w:proofErr w:type="spellStart"/>
            <w:r w:rsidRPr="00B16A55">
              <w:rPr>
                <w:rFonts w:ascii="Arial" w:hAnsi="Arial" w:cs="Arial"/>
                <w:sz w:val="16"/>
                <w:szCs w:val="17"/>
              </w:rPr>
              <w:t>skydiving</w:t>
            </w:r>
            <w:proofErr w:type="spellEnd"/>
            <w:r w:rsidRPr="00B16A55">
              <w:rPr>
                <w:rFonts w:ascii="Arial" w:hAnsi="Arial" w:cs="Arial"/>
                <w:sz w:val="16"/>
                <w:szCs w:val="17"/>
              </w:rPr>
              <w:t>, voli di collaudo.</w:t>
            </w:r>
          </w:p>
          <w:p w:rsidR="00F23526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Le informazioni relative all’organizzazione responsabile della gestione del mantenimento dell’</w:t>
            </w:r>
            <w:proofErr w:type="spellStart"/>
            <w:r w:rsidRPr="00B16A55">
              <w:rPr>
                <w:rFonts w:ascii="Arial" w:hAnsi="Arial" w:cs="Arial"/>
                <w:sz w:val="16"/>
                <w:szCs w:val="17"/>
              </w:rPr>
              <w:t>aeronavigabilità</w:t>
            </w:r>
            <w:proofErr w:type="spellEnd"/>
            <w:r w:rsidRPr="00B16A55">
              <w:rPr>
                <w:rFonts w:ascii="Arial" w:hAnsi="Arial" w:cs="Arial"/>
                <w:sz w:val="16"/>
                <w:szCs w:val="17"/>
              </w:rPr>
              <w:t xml:space="preserve"> devono includere il nome e l’indirizzo dell’organizzazione nonché il riferimento alla relativa approvazione.</w:t>
            </w:r>
          </w:p>
          <w:p w:rsidR="00F23526" w:rsidRPr="00B16A55" w:rsidRDefault="00B16A55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(a) </w:t>
            </w:r>
            <w:r w:rsidR="00F23526" w:rsidRPr="00B16A55">
              <w:rPr>
                <w:rFonts w:ascii="Arial" w:hAnsi="Arial" w:cs="Arial"/>
                <w:sz w:val="16"/>
                <w:szCs w:val="17"/>
              </w:rPr>
              <w:t xml:space="preserve">Operazioni con qualsiasi strumento o equipaggiamento o elemento o funzione difettosi, in base a una lista degli equipaggiamenti minimi (MEL) (norma ORO.MLR.105, lettere b), f) e j), e norme </w:t>
            </w:r>
            <w:proofErr w:type="gramStart"/>
            <w:r w:rsidR="00F23526" w:rsidRPr="00B16A55">
              <w:rPr>
                <w:rFonts w:ascii="Arial" w:hAnsi="Arial" w:cs="Arial"/>
                <w:sz w:val="16"/>
                <w:szCs w:val="17"/>
              </w:rPr>
              <w:t>NCC.IDE.A.</w:t>
            </w:r>
            <w:proofErr w:type="gramEnd"/>
            <w:r w:rsidR="00F23526" w:rsidRPr="00B16A55">
              <w:rPr>
                <w:rFonts w:ascii="Arial" w:hAnsi="Arial" w:cs="Arial"/>
                <w:sz w:val="16"/>
                <w:szCs w:val="17"/>
              </w:rPr>
              <w:t>105, NCC.IDE.H.105, SPO.IDE.A.105 e SPO.IDE.H.105).</w:t>
            </w:r>
          </w:p>
          <w:p w:rsidR="00F23526" w:rsidRPr="00B16A55" w:rsidRDefault="00B16A55" w:rsidP="00B16A55">
            <w:pPr>
              <w:spacing w:after="0"/>
              <w:ind w:left="720"/>
              <w:jc w:val="both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(b) </w:t>
            </w:r>
            <w:r w:rsidR="00F23526" w:rsidRPr="00B16A55">
              <w:rPr>
                <w:rFonts w:ascii="Arial" w:hAnsi="Arial" w:cs="Arial"/>
                <w:sz w:val="16"/>
                <w:szCs w:val="17"/>
              </w:rPr>
              <w:t>Operazioni soggette ad autorizzazione o approvazione preventiva, comprese tutte le operazioni seguenti:</w:t>
            </w:r>
          </w:p>
          <w:p w:rsidR="00F23526" w:rsidRPr="00B16A55" w:rsidRDefault="00F23526" w:rsidP="00B16A55">
            <w:p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—</w:t>
            </w:r>
            <w:r w:rsidR="00B16A55">
              <w:rPr>
                <w:rFonts w:ascii="Arial" w:hAnsi="Arial" w:cs="Arial"/>
                <w:sz w:val="16"/>
                <w:szCs w:val="17"/>
              </w:rPr>
              <w:t xml:space="preserve">   </w:t>
            </w:r>
            <w:r w:rsidRPr="00B16A55">
              <w:rPr>
                <w:rFonts w:ascii="Arial" w:hAnsi="Arial" w:cs="Arial"/>
                <w:sz w:val="16"/>
                <w:szCs w:val="17"/>
              </w:rPr>
              <w:t>per le operazioni specializzate, il noleggio con equipaggio e il noleggio senza equipaggio (a scafo nudo) di aeromobili registrati in un paese terzo (norma ORO.SPO.100, lettera c));</w:t>
            </w:r>
          </w:p>
          <w:p w:rsidR="00F23526" w:rsidRPr="00B16A55" w:rsidRDefault="00F23526" w:rsidP="00B16A55">
            <w:pPr>
              <w:pStyle w:val="Paragrafoelenco"/>
              <w:numPr>
                <w:ilvl w:val="2"/>
                <w:numId w:val="3"/>
              </w:num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le operazioni commerciali specializzate ad alto rischio (norma ORO.SPO.110);</w:t>
            </w:r>
          </w:p>
          <w:p w:rsidR="00F23526" w:rsidRPr="00B16A55" w:rsidRDefault="00F23526" w:rsidP="00B16A55">
            <w:pPr>
              <w:pStyle w:val="Paragrafoelenco"/>
              <w:numPr>
                <w:ilvl w:val="2"/>
                <w:numId w:val="3"/>
              </w:num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lastRenderedPageBreak/>
              <w:t>le operazioni non commerciali con aeromobili con una MOPSC superiore a 19, effettuate senza alcun membro dell’equipaggio di cabina (norma ORO.CC.100, lettera d));</w:t>
            </w:r>
          </w:p>
          <w:p w:rsidR="00F23526" w:rsidRPr="00B16A55" w:rsidRDefault="00F23526" w:rsidP="00B16A55">
            <w:pPr>
              <w:pStyle w:val="Paragrafoelenco"/>
              <w:numPr>
                <w:ilvl w:val="2"/>
                <w:numId w:val="3"/>
              </w:num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l’utilizzo di minimi operativi IFR inferiori a quelli pubblicati dallo Stato (norme NCC.OP.110 e SPO.OP.110);</w:t>
            </w:r>
          </w:p>
          <w:p w:rsidR="00F23526" w:rsidRPr="00B16A55" w:rsidRDefault="00F23526" w:rsidP="00B16A55">
            <w:pPr>
              <w:pStyle w:val="Paragrafoelenco"/>
              <w:numPr>
                <w:ilvl w:val="2"/>
                <w:numId w:val="3"/>
              </w:num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>il rifornimento di combustibile con motore o motori accesi e/o rotori in movimento (norma NCC.OP.157);</w:t>
            </w:r>
          </w:p>
          <w:p w:rsidR="00F23526" w:rsidRPr="00B16A55" w:rsidRDefault="00F23526" w:rsidP="00B16A55">
            <w:pPr>
              <w:pStyle w:val="Paragrafoelenco"/>
              <w:numPr>
                <w:ilvl w:val="2"/>
                <w:numId w:val="3"/>
              </w:numPr>
              <w:spacing w:after="0"/>
              <w:ind w:left="1406" w:hanging="284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 xml:space="preserve">le operazioni specializzate (SPO) senza ossigeno sopra 10 000 </w:t>
            </w:r>
            <w:proofErr w:type="spellStart"/>
            <w:r w:rsidRPr="00B16A55">
              <w:rPr>
                <w:rFonts w:ascii="Arial" w:hAnsi="Arial" w:cs="Arial"/>
                <w:sz w:val="16"/>
                <w:szCs w:val="17"/>
              </w:rPr>
              <w:t>ft</w:t>
            </w:r>
            <w:proofErr w:type="spellEnd"/>
            <w:r w:rsidRPr="00B16A55">
              <w:rPr>
                <w:rFonts w:ascii="Arial" w:hAnsi="Arial" w:cs="Arial"/>
                <w:sz w:val="16"/>
                <w:szCs w:val="17"/>
              </w:rPr>
              <w:t xml:space="preserve"> (norma SPO.OP.195).</w:t>
            </w:r>
          </w:p>
          <w:p w:rsidR="007D4D8D" w:rsidRPr="00B16A55" w:rsidRDefault="00F23526" w:rsidP="00B16A55">
            <w:pPr>
              <w:pStyle w:val="Paragrafoelenco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B16A55">
              <w:rPr>
                <w:rFonts w:ascii="Arial" w:hAnsi="Arial" w:cs="Arial"/>
                <w:sz w:val="16"/>
                <w:szCs w:val="17"/>
              </w:rPr>
              <w:t xml:space="preserve">Operazioni in conformità all’allegato V (parte </w:t>
            </w:r>
            <w:proofErr w:type="spellStart"/>
            <w:r w:rsidRPr="00B16A55">
              <w:rPr>
                <w:rFonts w:ascii="Arial" w:hAnsi="Arial" w:cs="Arial"/>
                <w:sz w:val="16"/>
                <w:szCs w:val="17"/>
              </w:rPr>
              <w:t>SpA</w:t>
            </w:r>
            <w:proofErr w:type="spellEnd"/>
            <w:r w:rsidRPr="00B16A55">
              <w:rPr>
                <w:rFonts w:ascii="Arial" w:hAnsi="Arial" w:cs="Arial"/>
                <w:sz w:val="16"/>
                <w:szCs w:val="17"/>
              </w:rPr>
              <w:t>) del regolamento (UE) n. 965/2012, compresi il capo B “Navigazione basata sulle prestazioni (PBN)”, il capo C “Operazioni in conformità alle specifiche delle prestazioni minime di navigazione (MNPS)”, il capo D “Operazioni in uno spazio aereo con separazioni verticali minime ridotte (RVSM)”, il capo E “Operazioni in bassa visibilità (LVO) e operazioni con crediti operativi”, il capo G “Trasporto di merci pericolose”, il capo K “Operazioni fuori costa effettuate da elicotteri” e il capo N “Avvicinamenti e partenze Point in Space di elico</w:t>
            </w:r>
            <w:r w:rsidR="003762C0" w:rsidRPr="00B16A55">
              <w:rPr>
                <w:rFonts w:ascii="Arial" w:hAnsi="Arial" w:cs="Arial"/>
                <w:sz w:val="16"/>
                <w:szCs w:val="17"/>
              </w:rPr>
              <w:t>tteri con minimi VFR ridotti”.</w:t>
            </w:r>
          </w:p>
          <w:p w:rsidR="007D4D8D" w:rsidRDefault="007D4D8D" w:rsidP="00796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If there is not enough space to list the required information in the declaration, the information </w:t>
            </w: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shall be listed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in a separate annex. The annex </w:t>
            </w: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shall be dated and signed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Manufacturer serial number.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If the aircraft </w:t>
            </w: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is also registered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with an AOC holder, specify the AOC number of the AOC holder.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‘Type(s) of operation’ refers to the type of operations conducted with this aircraft, e.g. non-commercial operations or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specialised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operations, e.g. aerial photography flights, aerial advertising flights, news media flights, television and movie flights, parachute operations, skydiving, maintenance check flights.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Information about the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organisation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responsible for the continuing airworthiness management shall include the name of the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organisation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, its address, and the approval reference.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(a) </w:t>
            </w: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operations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with any defective instrument or piece of equipment or item or function, under a minimum equipment list (MEL) (points ORO.MLR.105 (b), (f), and (j), NCC.IDE.A.105, NCC.IDE.H.105, SPO.IDE.A.105, and SPO.IDE.H.105).</w:t>
            </w:r>
          </w:p>
          <w:p w:rsidR="00C8018C" w:rsidRPr="00B16A55" w:rsidRDefault="00B16A55" w:rsidP="00B16A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ab/>
            </w:r>
            <w:r w:rsidR="00C8018C"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(b) Operations requiring prior </w:t>
            </w:r>
            <w:proofErr w:type="spellStart"/>
            <w:r w:rsidR="00C8018C"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authorisation</w:t>
            </w:r>
            <w:proofErr w:type="spellEnd"/>
            <w:r w:rsidR="00C8018C"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or approval, including all of the following: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for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specialised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operations, wet lease-in and dry lease-in of aircraft registered in a third country (point ORO. SPO.100 (c));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high-risk commercial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specialised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operations (point ORO.SPO.110);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non-commercial operations with aircraft with an MOPSC of more than 19, which are performed without an operating cabin crew member (point ORO.CC.100 (d));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use</w:t>
            </w:r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of IFR operating minima that are lower than those published by the State (points NCC.OP.110 and SPO. OP.110);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refuelling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with engine(s) and/or rotors turning (point NCC.OP.157);</w:t>
            </w:r>
          </w:p>
          <w:p w:rsidR="00C8018C" w:rsidRPr="00B16A55" w:rsidRDefault="00C8018C" w:rsidP="00B16A55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proofErr w:type="spellStart"/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specialised</w:t>
            </w:r>
            <w:proofErr w:type="spellEnd"/>
            <w:proofErr w:type="gram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operations (SPO) without oxygen above 10 000 </w:t>
            </w:r>
            <w:proofErr w:type="spell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ft</w:t>
            </w:r>
            <w:proofErr w:type="spellEnd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 xml:space="preserve"> (point SPO.OP.195).</w:t>
            </w:r>
          </w:p>
          <w:p w:rsidR="00C8018C" w:rsidRPr="00B16A55" w:rsidRDefault="00C8018C" w:rsidP="00B16A5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</w:pPr>
            <w:proofErr w:type="gramStart"/>
            <w:r w:rsidRPr="00B16A55">
              <w:rPr>
                <w:rFonts w:ascii="Arial" w:hAnsi="Arial" w:cs="Arial"/>
                <w:i/>
                <w:color w:val="000000"/>
                <w:sz w:val="16"/>
                <w:szCs w:val="24"/>
                <w:lang w:val="en-US"/>
              </w:rPr>
              <w:t>Operations in accordance with Annex V (Part-SPA) to Regulation (EU) No 965/2012, including Subparts B ‘Performance- based navigation (PBN) operations’, C ‘Operations with specified minimum navigation performance (MNPS)’, D ‘Operations in airspace with reduced vertical separation minima (RVSM)’, E ‘Low-visibility operations (LVOs) and operations with operational credits’, G ‘Transport of dangerous goods’, K ‘Helicopter offshore operations’ and N ‘Helicopter point-in-space approaches and departures with reduced VFR minima’.</w:t>
            </w:r>
            <w:proofErr w:type="gramEnd"/>
          </w:p>
          <w:p w:rsidR="007D4D8D" w:rsidRPr="002145E2" w:rsidRDefault="007D4D8D" w:rsidP="00514327">
            <w:pPr>
              <w:spacing w:after="0"/>
              <w:jc w:val="both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781F50" w:rsidRDefault="00781F50" w:rsidP="00FD32C6">
      <w:pPr>
        <w:spacing w:after="0"/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781F50" w:rsidRPr="00781F50" w:rsidRDefault="00781F50" w:rsidP="00781F50">
      <w:pPr>
        <w:rPr>
          <w:lang w:val="en-US"/>
        </w:rPr>
      </w:pPr>
    </w:p>
    <w:p w:rsidR="00967044" w:rsidRPr="00781F50" w:rsidRDefault="00781F50" w:rsidP="00781F50">
      <w:pPr>
        <w:tabs>
          <w:tab w:val="left" w:pos="8865"/>
        </w:tabs>
        <w:rPr>
          <w:lang w:val="en-US"/>
        </w:rPr>
      </w:pPr>
      <w:r>
        <w:rPr>
          <w:lang w:val="en-US"/>
        </w:rPr>
        <w:tab/>
      </w:r>
    </w:p>
    <w:sectPr w:rsidR="00967044" w:rsidRPr="00781F50" w:rsidSect="000D7164">
      <w:headerReference w:type="default" r:id="rId8"/>
      <w:footerReference w:type="default" r:id="rId9"/>
      <w:footerReference w:type="first" r:id="rId10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5D" w:rsidRDefault="00BC635D" w:rsidP="001606E8">
      <w:pPr>
        <w:spacing w:after="0" w:line="240" w:lineRule="auto"/>
      </w:pPr>
      <w:r>
        <w:separator/>
      </w:r>
    </w:p>
  </w:endnote>
  <w:endnote w:type="continuationSeparator" w:id="0">
    <w:p w:rsidR="00BC635D" w:rsidRDefault="00BC635D" w:rsidP="0016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9988"/>
      <w:docPartObj>
        <w:docPartGallery w:val="Page Numbers (Bottom of Page)"/>
        <w:docPartUnique/>
      </w:docPartObj>
    </w:sdtPr>
    <w:sdtEndPr/>
    <w:sdtContent>
      <w:p w:rsidR="001606E8" w:rsidRPr="001606E8" w:rsidRDefault="001606E8" w:rsidP="001606E8">
        <w:pPr>
          <w:pStyle w:val="Pidipagina"/>
          <w:tabs>
            <w:tab w:val="left" w:pos="4714"/>
          </w:tabs>
          <w:jc w:val="center"/>
        </w:pPr>
        <w:r w:rsidRPr="00160073">
          <w:rPr>
            <w:rFonts w:cs="Arial"/>
            <w:sz w:val="16"/>
            <w:lang w:val="en-US"/>
          </w:rPr>
          <w:t xml:space="preserve">Mod. ENAC </w:t>
        </w:r>
        <w:r w:rsidR="00FD32C6" w:rsidRPr="00160073">
          <w:rPr>
            <w:rFonts w:cs="Arial"/>
            <w:sz w:val="16"/>
            <w:lang w:val="en-US"/>
          </w:rPr>
          <w:t xml:space="preserve">OPS </w:t>
        </w:r>
        <w:r w:rsidRPr="00160073">
          <w:rPr>
            <w:rFonts w:cs="Arial"/>
            <w:sz w:val="16"/>
            <w:lang w:val="en-US"/>
          </w:rPr>
          <w:t>DEC</w:t>
        </w:r>
        <w:r w:rsidRPr="00160073">
          <w:rPr>
            <w:rFonts w:cs="Arial"/>
            <w:sz w:val="16"/>
            <w:lang w:val="en-US"/>
          </w:rPr>
          <w:tab/>
        </w:r>
        <w:r w:rsidRPr="00160073">
          <w:rPr>
            <w:rFonts w:cs="Arial"/>
            <w:sz w:val="16"/>
            <w:lang w:val="en-US"/>
          </w:rPr>
          <w:tab/>
        </w:r>
        <w:r w:rsidRPr="00160073">
          <w:rPr>
            <w:rFonts w:cs="Arial"/>
            <w:sz w:val="16"/>
            <w:lang w:val="en-US"/>
          </w:rPr>
          <w:tab/>
          <w:t xml:space="preserve">Ed.  </w:t>
        </w:r>
        <w:r w:rsidR="00781F50">
          <w:rPr>
            <w:rFonts w:cs="Arial"/>
            <w:sz w:val="16"/>
          </w:rPr>
          <w:t>Ottobre</w:t>
        </w:r>
        <w:r w:rsidR="000A5288" w:rsidRPr="001606E8">
          <w:rPr>
            <w:rFonts w:cs="Arial"/>
            <w:sz w:val="16"/>
          </w:rPr>
          <w:t xml:space="preserve">  20</w:t>
        </w:r>
        <w:r w:rsidR="000A5288">
          <w:rPr>
            <w:rFonts w:cs="Arial"/>
            <w:sz w:val="16"/>
          </w:rPr>
          <w:t>2</w:t>
        </w:r>
        <w:r w:rsidR="002145E2">
          <w:rPr>
            <w:rFonts w:cs="Arial"/>
            <w:sz w:val="16"/>
          </w:rPr>
          <w:t>2</w:t>
        </w:r>
      </w:p>
    </w:sdtContent>
  </w:sdt>
  <w:p w:rsidR="001606E8" w:rsidRPr="001606E8" w:rsidRDefault="001606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2180"/>
      <w:docPartObj>
        <w:docPartGallery w:val="Page Numbers (Bottom of Page)"/>
        <w:docPartUnique/>
      </w:docPartObj>
    </w:sdtPr>
    <w:sdtEndPr/>
    <w:sdtContent>
      <w:p w:rsidR="00382E4C" w:rsidRDefault="00382E4C" w:rsidP="00FF0C9B">
        <w:pPr>
          <w:pStyle w:val="Pidipagina"/>
          <w:tabs>
            <w:tab w:val="left" w:pos="4714"/>
          </w:tabs>
          <w:jc w:val="center"/>
        </w:pPr>
        <w:r w:rsidRPr="00FD32C6">
          <w:rPr>
            <w:rFonts w:cs="Arial"/>
            <w:sz w:val="16"/>
            <w:lang w:val="en-US"/>
          </w:rPr>
          <w:t xml:space="preserve">Mod. ENAC </w:t>
        </w:r>
        <w:r w:rsidR="00FD32C6" w:rsidRPr="00FD32C6">
          <w:rPr>
            <w:rFonts w:cs="Arial"/>
            <w:sz w:val="16"/>
            <w:lang w:val="en-US"/>
          </w:rPr>
          <w:t xml:space="preserve">OPS </w:t>
        </w:r>
        <w:r w:rsidRPr="00FD32C6">
          <w:rPr>
            <w:rFonts w:cs="Arial"/>
            <w:sz w:val="16"/>
            <w:lang w:val="en-US"/>
          </w:rPr>
          <w:t>DEC</w:t>
        </w:r>
        <w:r w:rsidRPr="00FD32C6">
          <w:rPr>
            <w:rFonts w:cs="Arial"/>
            <w:sz w:val="16"/>
            <w:lang w:val="en-US"/>
          </w:rPr>
          <w:tab/>
        </w:r>
        <w:r w:rsidRPr="00FD32C6">
          <w:rPr>
            <w:rFonts w:cs="Arial"/>
            <w:sz w:val="16"/>
            <w:lang w:val="en-US"/>
          </w:rPr>
          <w:tab/>
        </w:r>
        <w:r w:rsidRPr="00FD32C6">
          <w:rPr>
            <w:rFonts w:cs="Arial"/>
            <w:sz w:val="16"/>
            <w:lang w:val="en-US"/>
          </w:rPr>
          <w:tab/>
          <w:t xml:space="preserve">Ed.  </w:t>
        </w:r>
        <w:r w:rsidR="00781F50">
          <w:rPr>
            <w:rFonts w:cs="Arial"/>
            <w:sz w:val="16"/>
          </w:rPr>
          <w:t>Ottobre</w:t>
        </w:r>
        <w:r w:rsidR="00D5455D" w:rsidRPr="001606E8">
          <w:rPr>
            <w:rFonts w:cs="Arial"/>
            <w:sz w:val="16"/>
          </w:rPr>
          <w:t xml:space="preserve"> 20</w:t>
        </w:r>
        <w:r w:rsidR="00D5455D">
          <w:rPr>
            <w:rFonts w:cs="Arial"/>
            <w:sz w:val="16"/>
          </w:rPr>
          <w:t>2</w:t>
        </w:r>
        <w:r w:rsidR="002145E2">
          <w:rPr>
            <w:rFonts w:cs="Arial"/>
            <w:sz w:val="16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5D" w:rsidRDefault="00BC635D" w:rsidP="001606E8">
      <w:pPr>
        <w:spacing w:after="0" w:line="240" w:lineRule="auto"/>
      </w:pPr>
      <w:r>
        <w:separator/>
      </w:r>
    </w:p>
  </w:footnote>
  <w:footnote w:type="continuationSeparator" w:id="0">
    <w:p w:rsidR="00BC635D" w:rsidRDefault="00BC635D" w:rsidP="0016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5A" w:rsidRPr="00B6568F" w:rsidRDefault="00C0535A" w:rsidP="00821358">
    <w:pPr>
      <w:spacing w:after="0"/>
      <w:jc w:val="right"/>
      <w:rPr>
        <w:sz w:val="18"/>
        <w:szCs w:val="18"/>
      </w:rPr>
    </w:pPr>
    <w:r w:rsidRPr="00B6568F">
      <w:rPr>
        <w:sz w:val="18"/>
        <w:szCs w:val="18"/>
      </w:rPr>
      <w:t>Dichiarazione a norma del Reg</w:t>
    </w:r>
    <w:r>
      <w:rPr>
        <w:sz w:val="18"/>
        <w:szCs w:val="18"/>
      </w:rPr>
      <w:t>.</w:t>
    </w:r>
    <w:r w:rsidR="00FF0C9B">
      <w:rPr>
        <w:sz w:val="18"/>
        <w:szCs w:val="18"/>
      </w:rPr>
      <w:t xml:space="preserve"> (UE) n. 965/2012 - </w:t>
    </w:r>
    <w:r w:rsidRPr="00B6568F">
      <w:rPr>
        <w:rFonts w:cs="Arial"/>
        <w:sz w:val="18"/>
        <w:szCs w:val="18"/>
      </w:rPr>
      <w:t xml:space="preserve">pag. </w:t>
    </w:r>
    <w:r w:rsidR="00017234" w:rsidRPr="00B6568F">
      <w:rPr>
        <w:sz w:val="18"/>
        <w:szCs w:val="18"/>
      </w:rPr>
      <w:fldChar w:fldCharType="begin"/>
    </w:r>
    <w:r w:rsidRPr="00B6568F">
      <w:rPr>
        <w:sz w:val="18"/>
        <w:szCs w:val="18"/>
      </w:rPr>
      <w:instrText xml:space="preserve"> PAGE   \* MERGEFORMAT </w:instrText>
    </w:r>
    <w:r w:rsidR="00017234" w:rsidRPr="00B6568F">
      <w:rPr>
        <w:sz w:val="18"/>
        <w:szCs w:val="18"/>
      </w:rPr>
      <w:fldChar w:fldCharType="separate"/>
    </w:r>
    <w:r w:rsidR="00830A7A">
      <w:rPr>
        <w:noProof/>
        <w:sz w:val="18"/>
        <w:szCs w:val="18"/>
      </w:rPr>
      <w:t>3</w:t>
    </w:r>
    <w:r w:rsidR="00017234" w:rsidRPr="00B6568F">
      <w:rPr>
        <w:sz w:val="18"/>
        <w:szCs w:val="18"/>
      </w:rPr>
      <w:fldChar w:fldCharType="end"/>
    </w:r>
    <w:r w:rsidRPr="00B6568F">
      <w:rPr>
        <w:sz w:val="18"/>
        <w:szCs w:val="18"/>
      </w:rPr>
      <w:t xml:space="preserve"> di </w:t>
    </w:r>
    <w:r w:rsidR="00BC635D">
      <w:fldChar w:fldCharType="begin"/>
    </w:r>
    <w:r w:rsidR="00BC635D">
      <w:instrText xml:space="preserve"> NUMPAGES   \* MERGEFORMAT </w:instrText>
    </w:r>
    <w:r w:rsidR="00BC635D">
      <w:fldChar w:fldCharType="separate"/>
    </w:r>
    <w:r w:rsidR="00830A7A" w:rsidRPr="00830A7A">
      <w:rPr>
        <w:noProof/>
        <w:sz w:val="18"/>
        <w:szCs w:val="18"/>
      </w:rPr>
      <w:t>3</w:t>
    </w:r>
    <w:r w:rsidR="00BC635D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83E"/>
    <w:multiLevelType w:val="hybridMultilevel"/>
    <w:tmpl w:val="35A670D6"/>
    <w:lvl w:ilvl="0" w:tplc="38765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8D2"/>
    <w:multiLevelType w:val="hybridMultilevel"/>
    <w:tmpl w:val="924E2070"/>
    <w:lvl w:ilvl="0" w:tplc="38765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B960DB6">
      <w:start w:val="2"/>
      <w:numFmt w:val="bullet"/>
      <w:lvlText w:val="—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30E2F"/>
    <w:multiLevelType w:val="hybridMultilevel"/>
    <w:tmpl w:val="1EDA1900"/>
    <w:lvl w:ilvl="0" w:tplc="38765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74C0"/>
    <w:multiLevelType w:val="hybridMultilevel"/>
    <w:tmpl w:val="3D36983C"/>
    <w:lvl w:ilvl="0" w:tplc="38765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15045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4A9912">
      <w:start w:val="2"/>
      <w:numFmt w:val="bullet"/>
      <w:lvlText w:val="—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I0Wht/1s3788W8gZII6YMTuS/KiHed17caSK2aL7d9fEzn1mQglYfXo7FYv96aesxusXa/srNWEMktBdJqhw==" w:salt="kvuT/HGYHpv1lCjFasY4aA==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17"/>
    <w:rsid w:val="00017234"/>
    <w:rsid w:val="00046552"/>
    <w:rsid w:val="000534C3"/>
    <w:rsid w:val="0006197F"/>
    <w:rsid w:val="00062198"/>
    <w:rsid w:val="00067713"/>
    <w:rsid w:val="000A5288"/>
    <w:rsid w:val="000B0CA8"/>
    <w:rsid w:val="000C3D97"/>
    <w:rsid w:val="000D7164"/>
    <w:rsid w:val="001045CC"/>
    <w:rsid w:val="001046CC"/>
    <w:rsid w:val="0015074B"/>
    <w:rsid w:val="00152626"/>
    <w:rsid w:val="00160073"/>
    <w:rsid w:val="001606E8"/>
    <w:rsid w:val="001635EA"/>
    <w:rsid w:val="00181301"/>
    <w:rsid w:val="00187824"/>
    <w:rsid w:val="00196A6F"/>
    <w:rsid w:val="00197495"/>
    <w:rsid w:val="001A5DA7"/>
    <w:rsid w:val="001B6A1A"/>
    <w:rsid w:val="001C1E14"/>
    <w:rsid w:val="001C35F9"/>
    <w:rsid w:val="002075CD"/>
    <w:rsid w:val="002145E2"/>
    <w:rsid w:val="00241000"/>
    <w:rsid w:val="00242D04"/>
    <w:rsid w:val="00244D78"/>
    <w:rsid w:val="00272E41"/>
    <w:rsid w:val="00294C54"/>
    <w:rsid w:val="002E0D11"/>
    <w:rsid w:val="002F636F"/>
    <w:rsid w:val="00316F50"/>
    <w:rsid w:val="00322FEE"/>
    <w:rsid w:val="003339B0"/>
    <w:rsid w:val="0034641A"/>
    <w:rsid w:val="00354F95"/>
    <w:rsid w:val="00357AC0"/>
    <w:rsid w:val="003762C0"/>
    <w:rsid w:val="00377588"/>
    <w:rsid w:val="0038151F"/>
    <w:rsid w:val="00382E4C"/>
    <w:rsid w:val="003A0C79"/>
    <w:rsid w:val="003C3DFC"/>
    <w:rsid w:val="003D0DC0"/>
    <w:rsid w:val="003D5AB2"/>
    <w:rsid w:val="003E5D6F"/>
    <w:rsid w:val="003F3FC9"/>
    <w:rsid w:val="003F530D"/>
    <w:rsid w:val="004112B7"/>
    <w:rsid w:val="004548D7"/>
    <w:rsid w:val="00463031"/>
    <w:rsid w:val="004A5CDC"/>
    <w:rsid w:val="004C060D"/>
    <w:rsid w:val="004E300C"/>
    <w:rsid w:val="004F3BC2"/>
    <w:rsid w:val="005072A9"/>
    <w:rsid w:val="00514327"/>
    <w:rsid w:val="00534F0C"/>
    <w:rsid w:val="00554825"/>
    <w:rsid w:val="005759A2"/>
    <w:rsid w:val="005A43AB"/>
    <w:rsid w:val="005D41BB"/>
    <w:rsid w:val="005E49CD"/>
    <w:rsid w:val="005E535E"/>
    <w:rsid w:val="005F3252"/>
    <w:rsid w:val="00631F66"/>
    <w:rsid w:val="00637744"/>
    <w:rsid w:val="0066462D"/>
    <w:rsid w:val="00671838"/>
    <w:rsid w:val="00676723"/>
    <w:rsid w:val="00687A4C"/>
    <w:rsid w:val="006A6288"/>
    <w:rsid w:val="006A6B33"/>
    <w:rsid w:val="006A7898"/>
    <w:rsid w:val="006B4C60"/>
    <w:rsid w:val="006D0687"/>
    <w:rsid w:val="006D6CCA"/>
    <w:rsid w:val="00733326"/>
    <w:rsid w:val="00765C3F"/>
    <w:rsid w:val="00772C91"/>
    <w:rsid w:val="00781F50"/>
    <w:rsid w:val="00782823"/>
    <w:rsid w:val="007909CF"/>
    <w:rsid w:val="0079319E"/>
    <w:rsid w:val="0079633D"/>
    <w:rsid w:val="007B476C"/>
    <w:rsid w:val="007D1675"/>
    <w:rsid w:val="007D4D8D"/>
    <w:rsid w:val="007D5C3A"/>
    <w:rsid w:val="00821358"/>
    <w:rsid w:val="00830A7A"/>
    <w:rsid w:val="008314E3"/>
    <w:rsid w:val="00850FEC"/>
    <w:rsid w:val="00887185"/>
    <w:rsid w:val="00890A4F"/>
    <w:rsid w:val="008C6AAA"/>
    <w:rsid w:val="00912986"/>
    <w:rsid w:val="00927609"/>
    <w:rsid w:val="00954429"/>
    <w:rsid w:val="009622FD"/>
    <w:rsid w:val="00967044"/>
    <w:rsid w:val="009C2B7F"/>
    <w:rsid w:val="009C794E"/>
    <w:rsid w:val="009F212D"/>
    <w:rsid w:val="00A01C62"/>
    <w:rsid w:val="00A83650"/>
    <w:rsid w:val="00AB6D47"/>
    <w:rsid w:val="00AB6FF7"/>
    <w:rsid w:val="00AD692A"/>
    <w:rsid w:val="00AF74AB"/>
    <w:rsid w:val="00B11428"/>
    <w:rsid w:val="00B11F4A"/>
    <w:rsid w:val="00B16A55"/>
    <w:rsid w:val="00B42F3A"/>
    <w:rsid w:val="00B47EC6"/>
    <w:rsid w:val="00B53797"/>
    <w:rsid w:val="00B616B1"/>
    <w:rsid w:val="00B62373"/>
    <w:rsid w:val="00BC0A41"/>
    <w:rsid w:val="00BC635D"/>
    <w:rsid w:val="00BF1217"/>
    <w:rsid w:val="00C0535A"/>
    <w:rsid w:val="00C1550B"/>
    <w:rsid w:val="00C26119"/>
    <w:rsid w:val="00C41ED6"/>
    <w:rsid w:val="00C720B3"/>
    <w:rsid w:val="00C8018C"/>
    <w:rsid w:val="00CB6557"/>
    <w:rsid w:val="00CC30C4"/>
    <w:rsid w:val="00CC507D"/>
    <w:rsid w:val="00CC60CB"/>
    <w:rsid w:val="00CD6E33"/>
    <w:rsid w:val="00D17D71"/>
    <w:rsid w:val="00D5455D"/>
    <w:rsid w:val="00D856C6"/>
    <w:rsid w:val="00D964E9"/>
    <w:rsid w:val="00DC229D"/>
    <w:rsid w:val="00DC53BE"/>
    <w:rsid w:val="00DD03A6"/>
    <w:rsid w:val="00DD0B7B"/>
    <w:rsid w:val="00DF031B"/>
    <w:rsid w:val="00E015F9"/>
    <w:rsid w:val="00E264B5"/>
    <w:rsid w:val="00E37186"/>
    <w:rsid w:val="00EA0821"/>
    <w:rsid w:val="00EA5729"/>
    <w:rsid w:val="00EE6C31"/>
    <w:rsid w:val="00F1018A"/>
    <w:rsid w:val="00F22098"/>
    <w:rsid w:val="00F23526"/>
    <w:rsid w:val="00F37A96"/>
    <w:rsid w:val="00F47372"/>
    <w:rsid w:val="00F63D62"/>
    <w:rsid w:val="00F70283"/>
    <w:rsid w:val="00F77C23"/>
    <w:rsid w:val="00FD0C7B"/>
    <w:rsid w:val="00FD32C6"/>
    <w:rsid w:val="00FE0C84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570BF-2140-4BB1-809F-B5734CE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6E8"/>
  </w:style>
  <w:style w:type="paragraph" w:styleId="Pidipagina">
    <w:name w:val="footer"/>
    <w:basedOn w:val="Normale"/>
    <w:link w:val="PidipaginaCarattere"/>
    <w:uiPriority w:val="99"/>
    <w:unhideWhenUsed/>
    <w:rsid w:val="001606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6E8"/>
  </w:style>
  <w:style w:type="paragraph" w:customStyle="1" w:styleId="Default">
    <w:name w:val="Default"/>
    <w:rsid w:val="00D545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55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D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05716-CC2D-48C6-B3EC-9ED0BE4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e01876</dc:creator>
  <cp:lastModifiedBy>G. Criniti</cp:lastModifiedBy>
  <cp:revision>48</cp:revision>
  <cp:lastPrinted>2019-09-10T08:12:00Z</cp:lastPrinted>
  <dcterms:created xsi:type="dcterms:W3CDTF">2021-08-17T10:29:00Z</dcterms:created>
  <dcterms:modified xsi:type="dcterms:W3CDTF">2022-10-27T09:11:00Z</dcterms:modified>
</cp:coreProperties>
</file>