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32" w:rsidRPr="007F7B2D" w:rsidRDefault="004E7C4A" w:rsidP="001527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  <w:lang w:val="en-GB"/>
        </w:rPr>
      </w:pPr>
      <w:r w:rsidRPr="007F7B2D">
        <w:rPr>
          <w:rFonts w:ascii="Arial" w:hAnsi="Arial" w:cs="Arial"/>
          <w:b/>
          <w:lang w:val="en-GB"/>
        </w:rPr>
        <w:t>SAFETY MANAGEMENT SYSTEM</w:t>
      </w:r>
    </w:p>
    <w:p w:rsidR="001F5932" w:rsidRPr="007F7B2D" w:rsidRDefault="004E7C4A" w:rsidP="00152745">
      <w:pPr>
        <w:pStyle w:val="Titolo1"/>
        <w:tabs>
          <w:tab w:val="left" w:pos="1176"/>
        </w:tabs>
        <w:ind w:left="0"/>
        <w:jc w:val="center"/>
        <w:rPr>
          <w:lang w:val="en-GB"/>
        </w:rPr>
      </w:pPr>
      <w:r w:rsidRPr="007F7B2D">
        <w:rPr>
          <w:lang w:val="en-GB"/>
        </w:rPr>
        <w:t>GAP ANALYSIS AND IMPLEMENTATION TOOL</w:t>
      </w:r>
    </w:p>
    <w:p w:rsidR="001F5932" w:rsidRPr="007F7B2D" w:rsidRDefault="004E7C4A" w:rsidP="00152745">
      <w:pPr>
        <w:pStyle w:val="Titolo1"/>
        <w:tabs>
          <w:tab w:val="left" w:pos="1176"/>
        </w:tabs>
        <w:ind w:left="0"/>
        <w:jc w:val="center"/>
      </w:pPr>
      <w:r w:rsidRPr="007F7B2D">
        <w:t>Regolamenti (EU) 2022/201 e (EU) 2022/203 - Capitolo G (POA)</w:t>
      </w:r>
    </w:p>
    <w:p w:rsidR="001F5932" w:rsidRDefault="001F5932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613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1F5932" w:rsidRDefault="004E7C4A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6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La </w:t>
      </w:r>
      <w:r w:rsidR="006C4486">
        <w:rPr>
          <w:rFonts w:ascii="Calibri" w:eastAsia="Calibri" w:hAnsi="Calibri" w:cs="Calibri"/>
          <w:color w:val="000000"/>
          <w:sz w:val="20"/>
          <w:szCs w:val="20"/>
        </w:rPr>
        <w:t xml:space="preserve">presente </w:t>
      </w:r>
      <w:r w:rsidR="007F7B2D">
        <w:rPr>
          <w:rFonts w:ascii="Calibri" w:eastAsia="Calibri" w:hAnsi="Calibri" w:cs="Calibri"/>
          <w:color w:val="000000"/>
          <w:sz w:val="20"/>
          <w:szCs w:val="20"/>
        </w:rPr>
        <w:t>GAP ANALYSIS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6C4486">
        <w:rPr>
          <w:rFonts w:ascii="Calibri" w:eastAsia="Calibri" w:hAnsi="Calibri" w:cs="Calibri"/>
          <w:color w:val="000000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uò essere utilizzata</w:t>
      </w:r>
      <w:r w:rsidR="006C4486">
        <w:rPr>
          <w:rFonts w:ascii="Calibri" w:eastAsia="Calibri" w:hAnsi="Calibri" w:cs="Calibri"/>
          <w:sz w:val="20"/>
          <w:szCs w:val="20"/>
        </w:rPr>
        <w:t xml:space="preserve"> per </w:t>
      </w:r>
      <w:r w:rsidR="00271BE8">
        <w:rPr>
          <w:rFonts w:ascii="Calibri" w:eastAsia="Calibri" w:hAnsi="Calibri" w:cs="Calibri"/>
          <w:sz w:val="20"/>
          <w:szCs w:val="20"/>
        </w:rPr>
        <w:t xml:space="preserve">una </w:t>
      </w:r>
      <w:r w:rsidR="00DF11C4">
        <w:rPr>
          <w:rFonts w:ascii="Calibri" w:eastAsia="Calibri" w:hAnsi="Calibri" w:cs="Calibri"/>
          <w:sz w:val="20"/>
          <w:szCs w:val="20"/>
        </w:rPr>
        <w:t>valuta</w:t>
      </w:r>
      <w:r w:rsidR="00271BE8">
        <w:rPr>
          <w:rFonts w:ascii="Calibri" w:eastAsia="Calibri" w:hAnsi="Calibri" w:cs="Calibri"/>
          <w:sz w:val="20"/>
          <w:szCs w:val="20"/>
        </w:rPr>
        <w:t>zione preliminare del</w:t>
      </w:r>
      <w:r w:rsidR="00BF0FF8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livello di rispondenza </w:t>
      </w:r>
      <w:r w:rsidR="00271BE8">
        <w:rPr>
          <w:rFonts w:ascii="Calibri" w:eastAsia="Calibri" w:hAnsi="Calibri" w:cs="Calibri"/>
          <w:sz w:val="20"/>
          <w:szCs w:val="20"/>
        </w:rPr>
        <w:t xml:space="preserve">dell’organizzazione </w:t>
      </w:r>
      <w:r w:rsidR="00BF0FF8">
        <w:rPr>
          <w:rFonts w:ascii="Calibri" w:eastAsia="Calibri" w:hAnsi="Calibri" w:cs="Calibri"/>
          <w:sz w:val="20"/>
          <w:szCs w:val="20"/>
        </w:rPr>
        <w:t xml:space="preserve">rispetto </w:t>
      </w:r>
      <w:r w:rsidR="006C4486"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BF0FF8">
        <w:rPr>
          <w:rFonts w:ascii="Calibri" w:eastAsia="Calibri" w:hAnsi="Calibri" w:cs="Calibri"/>
          <w:sz w:val="20"/>
          <w:szCs w:val="20"/>
        </w:rPr>
        <w:t xml:space="preserve">nuovi </w:t>
      </w:r>
      <w:r>
        <w:rPr>
          <w:rFonts w:ascii="Calibri" w:eastAsia="Calibri" w:hAnsi="Calibri" w:cs="Calibri"/>
          <w:sz w:val="20"/>
          <w:szCs w:val="20"/>
        </w:rPr>
        <w:t xml:space="preserve">requisiti relativi al Safety Management System. </w:t>
      </w:r>
      <w:r w:rsidR="00BF0FF8">
        <w:rPr>
          <w:rFonts w:ascii="Calibri" w:eastAsia="Calibri" w:hAnsi="Calibri" w:cs="Calibri"/>
          <w:sz w:val="20"/>
          <w:szCs w:val="20"/>
        </w:rPr>
        <w:t xml:space="preserve"> </w:t>
      </w:r>
      <w:r w:rsidR="00A85827">
        <w:rPr>
          <w:rFonts w:ascii="Calibri" w:eastAsia="Calibri" w:hAnsi="Calibri" w:cs="Calibri"/>
          <w:sz w:val="20"/>
          <w:szCs w:val="20"/>
        </w:rPr>
        <w:t>Una volta c</w:t>
      </w:r>
      <w:r w:rsidR="00BF0FF8">
        <w:rPr>
          <w:rFonts w:ascii="Calibri" w:eastAsia="Calibri" w:hAnsi="Calibri" w:cs="Calibri"/>
          <w:sz w:val="20"/>
          <w:szCs w:val="20"/>
        </w:rPr>
        <w:t xml:space="preserve">ompletata </w:t>
      </w:r>
      <w:r w:rsidR="00DF11C4">
        <w:rPr>
          <w:rFonts w:ascii="Calibri" w:eastAsia="Calibri" w:hAnsi="Calibri" w:cs="Calibri"/>
          <w:sz w:val="20"/>
          <w:szCs w:val="20"/>
        </w:rPr>
        <w:t>saranno più evidenti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A85827">
        <w:rPr>
          <w:rFonts w:ascii="Calibri" w:eastAsia="Calibri" w:hAnsi="Calibri" w:cs="Calibri"/>
          <w:sz w:val="20"/>
          <w:szCs w:val="20"/>
        </w:rPr>
        <w:t xml:space="preserve">sia </w:t>
      </w:r>
      <w:r>
        <w:rPr>
          <w:rFonts w:ascii="Calibri" w:eastAsia="Calibri" w:hAnsi="Calibri" w:cs="Calibri"/>
          <w:sz w:val="20"/>
          <w:szCs w:val="20"/>
        </w:rPr>
        <w:t>le aree che richiedono interventi</w:t>
      </w:r>
      <w:r w:rsidR="003E1E07">
        <w:rPr>
          <w:rFonts w:ascii="Calibri" w:eastAsia="Calibri" w:hAnsi="Calibri" w:cs="Calibri"/>
          <w:sz w:val="20"/>
          <w:szCs w:val="20"/>
        </w:rPr>
        <w:t xml:space="preserve"> che</w:t>
      </w:r>
      <w:r w:rsidR="00741DA0">
        <w:rPr>
          <w:rFonts w:ascii="Calibri" w:eastAsia="Calibri" w:hAnsi="Calibri" w:cs="Calibri"/>
          <w:sz w:val="20"/>
          <w:szCs w:val="20"/>
        </w:rPr>
        <w:t xml:space="preserve"> </w:t>
      </w:r>
      <w:r w:rsidR="00A8110F">
        <w:rPr>
          <w:rFonts w:ascii="Calibri" w:eastAsia="Calibri" w:hAnsi="Calibri" w:cs="Calibri"/>
          <w:sz w:val="20"/>
          <w:szCs w:val="20"/>
        </w:rPr>
        <w:t xml:space="preserve">stimare </w:t>
      </w:r>
      <w:r>
        <w:rPr>
          <w:rFonts w:ascii="Calibri" w:eastAsia="Calibri" w:hAnsi="Calibri" w:cs="Calibri"/>
          <w:sz w:val="20"/>
          <w:szCs w:val="20"/>
        </w:rPr>
        <w:t xml:space="preserve">il carico di lavoro </w:t>
      </w:r>
      <w:r w:rsidR="00A85827">
        <w:rPr>
          <w:rFonts w:ascii="Calibri" w:eastAsia="Calibri" w:hAnsi="Calibri" w:cs="Calibri"/>
          <w:sz w:val="20"/>
          <w:szCs w:val="20"/>
        </w:rPr>
        <w:t>necessari</w:t>
      </w:r>
      <w:r w:rsidR="00A8110F">
        <w:rPr>
          <w:rFonts w:ascii="Calibri" w:eastAsia="Calibri" w:hAnsi="Calibri" w:cs="Calibri"/>
          <w:sz w:val="20"/>
          <w:szCs w:val="20"/>
        </w:rPr>
        <w:t>o</w:t>
      </w:r>
      <w:r w:rsidR="00A85827">
        <w:rPr>
          <w:rFonts w:ascii="Calibri" w:eastAsia="Calibri" w:hAnsi="Calibri" w:cs="Calibri"/>
          <w:sz w:val="20"/>
          <w:szCs w:val="20"/>
        </w:rPr>
        <w:t xml:space="preserve"> </w:t>
      </w:r>
      <w:r w:rsidR="00741DA0">
        <w:rPr>
          <w:rFonts w:ascii="Calibri" w:eastAsia="Calibri" w:hAnsi="Calibri" w:cs="Calibri"/>
          <w:sz w:val="20"/>
          <w:szCs w:val="20"/>
        </w:rPr>
        <w:t xml:space="preserve">e le tempistiche </w:t>
      </w:r>
      <w:r>
        <w:rPr>
          <w:rFonts w:ascii="Calibri" w:eastAsia="Calibri" w:hAnsi="Calibri" w:cs="Calibri"/>
          <w:sz w:val="20"/>
          <w:szCs w:val="20"/>
        </w:rPr>
        <w:t>per allinearsi a</w:t>
      </w:r>
      <w:r w:rsidR="00271BE8">
        <w:rPr>
          <w:rFonts w:ascii="Calibri" w:eastAsia="Calibri" w:hAnsi="Calibri" w:cs="Calibri"/>
          <w:sz w:val="20"/>
          <w:szCs w:val="20"/>
        </w:rPr>
        <w:t xml:space="preserve">i requisiti </w:t>
      </w:r>
      <w:r w:rsidR="00A85827">
        <w:rPr>
          <w:rFonts w:ascii="Calibri" w:eastAsia="Calibri" w:hAnsi="Calibri" w:cs="Calibri"/>
          <w:sz w:val="20"/>
          <w:szCs w:val="20"/>
        </w:rPr>
        <w:t>SMS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1F5932" w:rsidRDefault="001F5932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614"/>
        <w:jc w:val="both"/>
        <w:rPr>
          <w:rFonts w:ascii="Calibri" w:eastAsia="Calibri" w:hAnsi="Calibri" w:cs="Calibri"/>
          <w:sz w:val="20"/>
          <w:szCs w:val="20"/>
        </w:rPr>
      </w:pPr>
    </w:p>
    <w:p w:rsidR="001F5932" w:rsidRDefault="00A8110F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61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risultato della GAP ANALYSIS </w:t>
      </w:r>
      <w:r w:rsidR="003E1E07">
        <w:rPr>
          <w:rFonts w:ascii="Calibri" w:eastAsia="Calibri" w:hAnsi="Calibri" w:cs="Calibri"/>
          <w:sz w:val="20"/>
          <w:szCs w:val="20"/>
        </w:rPr>
        <w:t>è</w:t>
      </w:r>
      <w:r w:rsidR="004E7C4A">
        <w:rPr>
          <w:rFonts w:ascii="Calibri" w:eastAsia="Calibri" w:hAnsi="Calibri" w:cs="Calibri"/>
          <w:sz w:val="20"/>
          <w:szCs w:val="20"/>
        </w:rPr>
        <w:t xml:space="preserve"> </w:t>
      </w:r>
      <w:r w:rsidR="00136BDB">
        <w:rPr>
          <w:rFonts w:ascii="Calibri" w:eastAsia="Calibri" w:hAnsi="Calibri" w:cs="Calibri"/>
          <w:sz w:val="20"/>
          <w:szCs w:val="20"/>
        </w:rPr>
        <w:t xml:space="preserve">anche </w:t>
      </w:r>
      <w:r w:rsidR="004E7C4A">
        <w:rPr>
          <w:rFonts w:ascii="Calibri" w:eastAsia="Calibri" w:hAnsi="Calibri" w:cs="Calibri"/>
          <w:sz w:val="20"/>
          <w:szCs w:val="20"/>
        </w:rPr>
        <w:t xml:space="preserve">utile al management dell’organizzazione per conoscere l'entità dello sforzo </w:t>
      </w:r>
      <w:r w:rsidR="00BE50F1">
        <w:rPr>
          <w:rFonts w:ascii="Calibri" w:eastAsia="Calibri" w:hAnsi="Calibri" w:cs="Calibri"/>
          <w:sz w:val="20"/>
          <w:szCs w:val="20"/>
        </w:rPr>
        <w:t xml:space="preserve">organizzativo </w:t>
      </w:r>
      <w:r w:rsidR="00253C4E">
        <w:rPr>
          <w:rFonts w:ascii="Calibri" w:eastAsia="Calibri" w:hAnsi="Calibri" w:cs="Calibri"/>
          <w:sz w:val="20"/>
          <w:szCs w:val="20"/>
        </w:rPr>
        <w:t xml:space="preserve">necessario per </w:t>
      </w:r>
      <w:r w:rsidR="00BE50F1">
        <w:rPr>
          <w:rFonts w:ascii="Calibri" w:eastAsia="Calibri" w:hAnsi="Calibri" w:cs="Calibri"/>
          <w:sz w:val="20"/>
          <w:szCs w:val="20"/>
        </w:rPr>
        <w:t xml:space="preserve">l’attuazione </w:t>
      </w:r>
      <w:r w:rsidR="004E7C4A">
        <w:rPr>
          <w:rFonts w:ascii="Calibri" w:eastAsia="Calibri" w:hAnsi="Calibri" w:cs="Calibri"/>
          <w:sz w:val="20"/>
          <w:szCs w:val="20"/>
        </w:rPr>
        <w:t>del nuovo regolamento</w:t>
      </w:r>
      <w:r w:rsidR="00BE50F1">
        <w:rPr>
          <w:rFonts w:ascii="Calibri" w:eastAsia="Calibri" w:hAnsi="Calibri" w:cs="Calibri"/>
          <w:sz w:val="20"/>
          <w:szCs w:val="20"/>
        </w:rPr>
        <w:t>.</w:t>
      </w:r>
      <w:r w:rsidR="004E7C4A">
        <w:rPr>
          <w:rFonts w:ascii="Calibri" w:eastAsia="Calibri" w:hAnsi="Calibri" w:cs="Calibri"/>
          <w:sz w:val="20"/>
          <w:szCs w:val="20"/>
        </w:rPr>
        <w:t xml:space="preserve"> Il documento può essere adattato </w:t>
      </w:r>
      <w:r w:rsidR="003E1E07">
        <w:rPr>
          <w:rFonts w:ascii="Calibri" w:eastAsia="Calibri" w:hAnsi="Calibri" w:cs="Calibri"/>
          <w:sz w:val="20"/>
          <w:szCs w:val="20"/>
        </w:rPr>
        <w:t xml:space="preserve">dall’impresa </w:t>
      </w:r>
      <w:r w:rsidR="004E7C4A">
        <w:rPr>
          <w:rFonts w:ascii="Calibri" w:eastAsia="Calibri" w:hAnsi="Calibri" w:cs="Calibri"/>
          <w:sz w:val="20"/>
          <w:szCs w:val="20"/>
        </w:rPr>
        <w:t xml:space="preserve">per soddisfare al meglio le </w:t>
      </w:r>
      <w:r w:rsidR="00136BDB">
        <w:rPr>
          <w:rFonts w:ascii="Calibri" w:eastAsia="Calibri" w:hAnsi="Calibri" w:cs="Calibri"/>
          <w:sz w:val="20"/>
          <w:szCs w:val="20"/>
        </w:rPr>
        <w:t xml:space="preserve">proprie </w:t>
      </w:r>
      <w:r w:rsidR="004E7C4A">
        <w:rPr>
          <w:rFonts w:ascii="Calibri" w:eastAsia="Calibri" w:hAnsi="Calibri" w:cs="Calibri"/>
          <w:sz w:val="20"/>
          <w:szCs w:val="20"/>
        </w:rPr>
        <w:t>esigenze e l</w:t>
      </w:r>
      <w:r w:rsidR="003E1E07">
        <w:rPr>
          <w:rFonts w:ascii="Calibri" w:eastAsia="Calibri" w:hAnsi="Calibri" w:cs="Calibri"/>
          <w:sz w:val="20"/>
          <w:szCs w:val="20"/>
        </w:rPr>
        <w:t xml:space="preserve">a </w:t>
      </w:r>
      <w:r w:rsidR="00136BDB">
        <w:rPr>
          <w:rFonts w:ascii="Calibri" w:eastAsia="Calibri" w:hAnsi="Calibri" w:cs="Calibri"/>
          <w:sz w:val="20"/>
          <w:szCs w:val="20"/>
        </w:rPr>
        <w:t xml:space="preserve">specifica </w:t>
      </w:r>
      <w:r w:rsidR="003E1E07">
        <w:rPr>
          <w:rFonts w:ascii="Calibri" w:eastAsia="Calibri" w:hAnsi="Calibri" w:cs="Calibri"/>
          <w:sz w:val="20"/>
          <w:szCs w:val="20"/>
        </w:rPr>
        <w:t xml:space="preserve">tipologia di </w:t>
      </w:r>
      <w:r w:rsidR="004E7C4A">
        <w:rPr>
          <w:rFonts w:ascii="Calibri" w:eastAsia="Calibri" w:hAnsi="Calibri" w:cs="Calibri"/>
          <w:sz w:val="20"/>
          <w:szCs w:val="20"/>
        </w:rPr>
        <w:t>attività</w:t>
      </w:r>
      <w:r w:rsidR="00BE50F1">
        <w:rPr>
          <w:rFonts w:ascii="Calibri" w:eastAsia="Calibri" w:hAnsi="Calibri" w:cs="Calibri"/>
          <w:sz w:val="20"/>
          <w:szCs w:val="20"/>
        </w:rPr>
        <w:t xml:space="preserve"> produttiv</w:t>
      </w:r>
      <w:r w:rsidR="00DC2CA2">
        <w:rPr>
          <w:rFonts w:ascii="Calibri" w:eastAsia="Calibri" w:hAnsi="Calibri" w:cs="Calibri"/>
          <w:sz w:val="20"/>
          <w:szCs w:val="20"/>
        </w:rPr>
        <w:t>a</w:t>
      </w:r>
      <w:r w:rsidR="004E7C4A">
        <w:rPr>
          <w:rFonts w:ascii="Calibri" w:eastAsia="Calibri" w:hAnsi="Calibri" w:cs="Calibri"/>
          <w:sz w:val="20"/>
          <w:szCs w:val="20"/>
        </w:rPr>
        <w:t>.</w:t>
      </w:r>
    </w:p>
    <w:p w:rsidR="001F5932" w:rsidRDefault="001F5932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612"/>
        <w:jc w:val="both"/>
        <w:rPr>
          <w:rFonts w:ascii="Calibri" w:eastAsia="Calibri" w:hAnsi="Calibri" w:cs="Calibri"/>
          <w:sz w:val="20"/>
          <w:szCs w:val="20"/>
        </w:rPr>
      </w:pPr>
    </w:p>
    <w:p w:rsidR="001F5932" w:rsidRDefault="004E7C4A">
      <w:pPr>
        <w:pBdr>
          <w:top w:val="nil"/>
          <w:left w:val="nil"/>
          <w:bottom w:val="nil"/>
          <w:right w:val="nil"/>
          <w:between w:val="nil"/>
        </w:pBdr>
        <w:spacing w:line="285" w:lineRule="auto"/>
        <w:ind w:right="61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Nei casi di risposta negativa alle domande contenute nella </w:t>
      </w:r>
      <w:r w:rsidR="00BE50F1">
        <w:rPr>
          <w:rFonts w:ascii="Calibri" w:eastAsia="Calibri" w:hAnsi="Calibri" w:cs="Calibri"/>
          <w:sz w:val="20"/>
          <w:szCs w:val="20"/>
        </w:rPr>
        <w:t>GAP ANALYSIS</w:t>
      </w:r>
      <w:r>
        <w:rPr>
          <w:rFonts w:ascii="Calibri" w:eastAsia="Calibri" w:hAnsi="Calibri" w:cs="Calibri"/>
          <w:sz w:val="20"/>
          <w:szCs w:val="20"/>
        </w:rPr>
        <w:t xml:space="preserve">, l’organizzazione deve </w:t>
      </w:r>
      <w:r w:rsidR="00DD17B6">
        <w:rPr>
          <w:rFonts w:ascii="Calibri" w:eastAsia="Calibri" w:hAnsi="Calibri" w:cs="Calibri"/>
          <w:sz w:val="20"/>
          <w:szCs w:val="20"/>
        </w:rPr>
        <w:t>individuare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DC2CA2">
        <w:rPr>
          <w:rFonts w:ascii="Calibri" w:eastAsia="Calibri" w:hAnsi="Calibri" w:cs="Calibri"/>
          <w:sz w:val="20"/>
          <w:szCs w:val="20"/>
        </w:rPr>
        <w:t xml:space="preserve">quale tipo di </w:t>
      </w:r>
      <w:r>
        <w:rPr>
          <w:rFonts w:ascii="Calibri" w:eastAsia="Calibri" w:hAnsi="Calibri" w:cs="Calibri"/>
          <w:sz w:val="20"/>
          <w:szCs w:val="20"/>
        </w:rPr>
        <w:t xml:space="preserve">azione </w:t>
      </w:r>
      <w:r w:rsidR="00DC2CA2">
        <w:rPr>
          <w:rFonts w:ascii="Calibri" w:eastAsia="Calibri" w:hAnsi="Calibri" w:cs="Calibri"/>
          <w:sz w:val="20"/>
          <w:szCs w:val="20"/>
        </w:rPr>
        <w:t xml:space="preserve">è </w:t>
      </w:r>
      <w:r>
        <w:rPr>
          <w:rFonts w:ascii="Calibri" w:eastAsia="Calibri" w:hAnsi="Calibri" w:cs="Calibri"/>
          <w:sz w:val="20"/>
          <w:szCs w:val="20"/>
        </w:rPr>
        <w:t>necessaria, assegnare l</w:t>
      </w:r>
      <w:r w:rsidR="00DC2CA2"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 responsabilità per la sua </w:t>
      </w:r>
      <w:r w:rsidR="00DD17B6">
        <w:rPr>
          <w:rFonts w:ascii="Calibri" w:eastAsia="Calibri" w:hAnsi="Calibri" w:cs="Calibri"/>
          <w:sz w:val="20"/>
          <w:szCs w:val="20"/>
        </w:rPr>
        <w:t xml:space="preserve">attuazione, </w:t>
      </w:r>
      <w:r>
        <w:rPr>
          <w:rFonts w:ascii="Calibri" w:eastAsia="Calibri" w:hAnsi="Calibri" w:cs="Calibri"/>
          <w:sz w:val="20"/>
          <w:szCs w:val="20"/>
        </w:rPr>
        <w:t xml:space="preserve">stabilire i tempi previsti per la </w:t>
      </w:r>
      <w:r w:rsidR="00DC2CA2">
        <w:rPr>
          <w:rFonts w:ascii="Calibri" w:eastAsia="Calibri" w:hAnsi="Calibri" w:cs="Calibri"/>
          <w:sz w:val="20"/>
          <w:szCs w:val="20"/>
        </w:rPr>
        <w:t xml:space="preserve">sua </w:t>
      </w:r>
      <w:r>
        <w:rPr>
          <w:rFonts w:ascii="Calibri" w:eastAsia="Calibri" w:hAnsi="Calibri" w:cs="Calibri"/>
          <w:sz w:val="20"/>
          <w:szCs w:val="20"/>
        </w:rPr>
        <w:t>chiusura</w:t>
      </w:r>
      <w:r w:rsidR="000E42AA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al fine di raggiungere la rispondenza al nuovo regolamento</w:t>
      </w:r>
      <w:r w:rsidR="00595FA7" w:rsidRPr="00595FA7">
        <w:rPr>
          <w:rFonts w:ascii="Calibri" w:eastAsia="Calibri" w:hAnsi="Calibri" w:cs="Calibri"/>
          <w:sz w:val="20"/>
          <w:szCs w:val="20"/>
        </w:rPr>
        <w:t xml:space="preserve"> </w:t>
      </w:r>
      <w:r w:rsidR="00595FA7">
        <w:rPr>
          <w:rFonts w:ascii="Calibri" w:eastAsia="Calibri" w:hAnsi="Calibri" w:cs="Calibri"/>
          <w:sz w:val="20"/>
          <w:szCs w:val="20"/>
        </w:rPr>
        <w:t>in tempo utile</w:t>
      </w:r>
      <w:r w:rsidR="00084FD3">
        <w:rPr>
          <w:rFonts w:ascii="Calibri" w:eastAsia="Calibri" w:hAnsi="Calibri" w:cs="Calibri"/>
          <w:sz w:val="20"/>
          <w:szCs w:val="20"/>
        </w:rPr>
        <w:t xml:space="preserve"> per permettere a ENAC di completare gli accertamenti previsti con adeguato anticipo rispetto alla data di scadenza della fase transitoria</w:t>
      </w:r>
      <w:r w:rsidR="00BF34E7">
        <w:rPr>
          <w:rFonts w:ascii="Calibri" w:eastAsia="Calibri" w:hAnsi="Calibri" w:cs="Calibri"/>
          <w:sz w:val="20"/>
          <w:szCs w:val="20"/>
        </w:rPr>
        <w:t xml:space="preserve"> (7 marzo 2025)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:rsidR="001F5932" w:rsidRDefault="004E7C4A">
      <w:pPr>
        <w:pBdr>
          <w:top w:val="nil"/>
          <w:left w:val="nil"/>
          <w:bottom w:val="nil"/>
          <w:right w:val="nil"/>
          <w:between w:val="nil"/>
        </w:pBdr>
        <w:spacing w:before="240" w:line="285" w:lineRule="auto"/>
        <w:ind w:right="61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Nota: nell</w:t>
      </w:r>
      <w:r w:rsidR="008F53B9"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 tabell</w:t>
      </w:r>
      <w:r w:rsidR="008F53B9">
        <w:rPr>
          <w:rFonts w:ascii="Calibri" w:eastAsia="Calibri" w:hAnsi="Calibri" w:cs="Calibri"/>
          <w:sz w:val="20"/>
          <w:szCs w:val="20"/>
        </w:rPr>
        <w:t>e che seguono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8F53B9"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z w:val="20"/>
          <w:szCs w:val="20"/>
        </w:rPr>
        <w:t>riferimenti indicati s</w:t>
      </w:r>
      <w:r w:rsidR="00686F25">
        <w:rPr>
          <w:rFonts w:ascii="Calibri" w:eastAsia="Calibri" w:hAnsi="Calibri" w:cs="Calibri"/>
          <w:sz w:val="20"/>
          <w:szCs w:val="20"/>
        </w:rPr>
        <w:t xml:space="preserve">ono quelli </w:t>
      </w:r>
      <w:r>
        <w:rPr>
          <w:rFonts w:ascii="Calibri" w:eastAsia="Calibri" w:hAnsi="Calibri" w:cs="Calibri"/>
          <w:sz w:val="20"/>
          <w:szCs w:val="20"/>
        </w:rPr>
        <w:t xml:space="preserve">del regolamento (EU) 748/2012 e </w:t>
      </w:r>
      <w:r w:rsidR="000E42AA">
        <w:rPr>
          <w:rFonts w:ascii="Calibri" w:eastAsia="Calibri" w:hAnsi="Calibri" w:cs="Calibri"/>
          <w:sz w:val="20"/>
          <w:szCs w:val="20"/>
        </w:rPr>
        <w:t>del</w:t>
      </w:r>
      <w:r>
        <w:rPr>
          <w:rFonts w:ascii="Calibri" w:eastAsia="Calibri" w:hAnsi="Calibri" w:cs="Calibri"/>
          <w:sz w:val="20"/>
          <w:szCs w:val="20"/>
        </w:rPr>
        <w:t xml:space="preserve"> corrispondente </w:t>
      </w:r>
      <w:r w:rsidR="000E42AA">
        <w:rPr>
          <w:rFonts w:ascii="Calibri" w:eastAsia="Calibri" w:hAnsi="Calibri" w:cs="Calibri"/>
          <w:sz w:val="20"/>
          <w:szCs w:val="20"/>
        </w:rPr>
        <w:t xml:space="preserve">punto </w:t>
      </w:r>
      <w:r>
        <w:rPr>
          <w:rFonts w:ascii="Calibri" w:eastAsia="Calibri" w:hAnsi="Calibri" w:cs="Calibri"/>
          <w:sz w:val="20"/>
          <w:szCs w:val="20"/>
        </w:rPr>
        <w:t xml:space="preserve">dello standard industriale SM-0001 #, </w:t>
      </w:r>
      <w:r w:rsidR="00686F25">
        <w:rPr>
          <w:rFonts w:ascii="Calibri" w:eastAsia="Calibri" w:hAnsi="Calibri" w:cs="Calibri"/>
          <w:sz w:val="20"/>
          <w:szCs w:val="20"/>
        </w:rPr>
        <w:t>riferito ne</w:t>
      </w:r>
      <w:r>
        <w:rPr>
          <w:rFonts w:ascii="Calibri" w:eastAsia="Calibri" w:hAnsi="Calibri" w:cs="Calibri"/>
          <w:sz w:val="20"/>
          <w:szCs w:val="20"/>
        </w:rPr>
        <w:t>lla AMC1 21.A.139(c).</w:t>
      </w:r>
    </w:p>
    <w:p w:rsidR="001F5932" w:rsidRDefault="001F5932">
      <w:pPr>
        <w:pBdr>
          <w:top w:val="nil"/>
          <w:left w:val="nil"/>
          <w:bottom w:val="nil"/>
          <w:right w:val="nil"/>
          <w:between w:val="nil"/>
        </w:pBdr>
        <w:spacing w:before="240" w:line="285" w:lineRule="auto"/>
        <w:ind w:left="812" w:right="612"/>
        <w:jc w:val="both"/>
        <w:rPr>
          <w:color w:val="000000"/>
        </w:rPr>
      </w:pPr>
    </w:p>
    <w:p w:rsidR="001F5932" w:rsidRDefault="001F59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1F593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709" w:footer="709" w:gutter="0"/>
          <w:pgNumType w:start="1"/>
          <w:cols w:space="720"/>
          <w:titlePg/>
        </w:sectPr>
      </w:pPr>
    </w:p>
    <w:p w:rsidR="001F5932" w:rsidRDefault="001F5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466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79"/>
        <w:gridCol w:w="4716"/>
        <w:gridCol w:w="1132"/>
        <w:gridCol w:w="1739"/>
        <w:gridCol w:w="1437"/>
        <w:gridCol w:w="1892"/>
        <w:gridCol w:w="1408"/>
        <w:gridCol w:w="1660"/>
      </w:tblGrid>
      <w:tr w:rsidR="001F5932" w:rsidTr="001F5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1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Aspetto da analizzare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Rispondenza</w:t>
            </w:r>
          </w:p>
          <w:p w:rsidR="001F5932" w:rsidRDefault="00136BDB" w:rsidP="006F4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(Si,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</w:t>
            </w:r>
            <w:r w:rsidR="006F4C7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,Parz.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Descrizione azione necessaria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Azione assegnata a (responsabile)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Riferimento al Manuale dell’impresa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prevista </w:t>
            </w:r>
            <w:r w:rsidR="00E7141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ompletamento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7ED" w:rsidRDefault="00B227ED" w:rsidP="00B22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Data azione</w:t>
            </w:r>
          </w:p>
          <w:p w:rsidR="001F5932" w:rsidRDefault="00B227ED" w:rsidP="00B22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completata </w:t>
            </w: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IMPEGNO E RESPONSABILITÀ DEL MANAGEMENT (21.A.139(c)(1) / SM-0001 #6.1.1)</w:t>
            </w:r>
          </w:p>
        </w:tc>
      </w:tr>
      <w:tr w:rsidR="001F5932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ind w:righ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Il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manuale dell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mpresa contiene una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 xml:space="preserve">safety policy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approvata dall’Accountable Manager o dall’Accountable Executive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ind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previsto che il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senior management deve impegnarsi a promuovere continuamente la safety policy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ind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previsto 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che la safety policy sia comunicata in modo efficace in tutta l'organizzazione?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La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safety policy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include i processi dell’azienda e dei suoi fornitori per ciò che riguarda la dimostrazione di conformità di un prodotto che risponde ai regolamenti applicabili?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1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E42A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La </w:t>
            </w:r>
            <w:r w:rsidRPr="000E42AA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safety policy </w:t>
            </w:r>
            <w:r w:rsidRPr="000E42A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include</w:t>
            </w:r>
            <w:r w:rsidRPr="000E42AA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0E42A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anche la </w:t>
            </w:r>
            <w:r w:rsidRPr="000E42AA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continued operational safety</w:t>
            </w:r>
            <w:r w:rsidRPr="000E42A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modo da assicurare l’integrità di un prodotto attraverso la sua vita operativa (feedback al type design holder con azioni preventive, correttive e di monitoraggio)?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La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safety policy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include i processi di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safety assurance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per quanto riguarda: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il monitoraggio e la misurazione delle safety performance, 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gestione del cambiamento, e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il miglioramento continuo.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6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safety policy è coerente con i principi di “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Just Culture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” così come indicati nel regolamento EU 376/2014?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previsto che l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safety policy sia revisionata periodicamente per tener conto delle modifiche derivanti da: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fattori esterni, 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dalla Safety Performance, 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dalla struttura organizzativa, 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dagli scopi e dalle attività dell’organizzazione.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RESPONSABILITÀ SULLA SAFETY (21.A.139(c)(2) / SM-0001 #6.1.2)</w:t>
            </w: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Sono state definite chiaramente l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 responsabilità sulla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safety dell’Accountable Manager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 dei responsabili? </w:t>
            </w:r>
            <w:r w:rsidR="005C1341"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prevista una procedura per renderle pubbliche a tutto il personale?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Pr="00B44898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espresso chiaramente n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 manuale che l’Accountable Manager ha: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la piena responsabilità per l'attuazione del SMS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l’autorità aziendale per garantire che tutte le attività possano   essere finanziate ed eseguite secondo gli standard richiesti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Pr="00B44898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struttura di gestione dell'organizzazione integra anche i responsabili della safety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Pr="00B44898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Il personale è stato addestrato per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ssere consapevole: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del proprio ruolo e delle responsabilità attinenti la safety, 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dei requisiti di legge e degli standard applicabili, 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che eventuali obiettivi personali e/o di gruppo siano correlati agli obiettivi generali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Pr="00B44898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B4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0212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Gli obiettivi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assegnati sulla safety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sono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esaminati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periodicamente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manuale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indica la periodicità e le modalità del riesame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per esempio secondo logiche SMART: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Specific (Spe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cifico)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Measurable (Misurabile)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Achievable (Raggiungibile)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Realistic (Realistico)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202124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Time-bound (Definito nel tempo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B44898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2" w:rsidRDefault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previsto che l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 prestazioni in termini di safety e l'efficacia del SMS devono essere monitorate da un Safety Review Board (o dal Safety Manager, dove tale board non è stato nominato)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B4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B44898" w:rsidP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3"/>
              </w:tabs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stata prevista una procedura che descrive come viene effettuata l’identificazione dei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rischi?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In particolare sono identificati i rischi maggiori che possono essere associati all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’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organizzazione e alle sue peculiarità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NOMINA DEL PERSONALE CHIAVE DELLA SAFETY (21.A.145(c)(1)(2) / SM-0001 #6.1.3)</w:t>
            </w: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È stato valutata la nomina del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Safety Manager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di riferimento per il SMS?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prevista nell’organigramma una linea di riporto diretto tra il Safety Manager e l’Accountable Manager?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B4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Il Safety Manager ha: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una esperienza adeguata, 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basi culturali, conoscenze e comprensione del SMS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che sono state opportunamente valutate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B44898">
        <w:trPr>
          <w:cantSplit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valutato se l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 dimensioni e la complessità dell’organizzazione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richiedono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la costituzione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di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un </w:t>
            </w:r>
            <w:r w:rsidR="004E7C4A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Safety Review Board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DOCUMENTAZIONE DEL SMS (21.A.143(a)(11),21.A.143(c) / SM-0001 #6.1.3)</w:t>
            </w:r>
          </w:p>
        </w:tc>
      </w:tr>
      <w:tr w:rsidR="001F5932" w:rsidTr="001F5932">
        <w:trPr>
          <w:cantSplit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valutato se l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 documentazione inerente la </w:t>
            </w:r>
            <w:r w:rsidR="004E7C4A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safety 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contiene tutti gli elementi previsti e sarà incorporata nei manuali esistenti o in un apposito manuale richiamato nel POE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previsto che la documentazione sulla safety sia periodicamente aggiornata?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RPr="00152745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Pr="00152745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5274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>RECORDS (21.A.5(b),(d) / SM-0001 #6.1.5.2)</w:t>
            </w:r>
          </w:p>
        </w:tc>
      </w:tr>
      <w:tr w:rsidR="001F5932" w:rsidTr="00B4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2" w:rsidRPr="00152745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2" w:rsidRDefault="004E7C4A" w:rsidP="0015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Il sistema per la registrazione e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’archiviazione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della documentazione è adeguato </w:t>
            </w:r>
            <w:r w:rsidR="009A53D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poter gestire anche quella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relativa all’ SMS (cioè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hazard log,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risk assessment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segnalazioni attinenti la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safety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 parte del personale / organizzazioni sotto contratto,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safety case, ecc.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1F5932" w:rsidRPr="00152745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Pr="00152745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5274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lastRenderedPageBreak/>
              <w:t>REPORTING SYSTEM (21.A.139(c)(6), 21.A.3A / SM-0001 #6.2.1)</w:t>
            </w:r>
          </w:p>
        </w:tc>
      </w:tr>
      <w:tr w:rsidR="001F5932" w:rsidTr="0015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Pr="00152745" w:rsidRDefault="001F5932" w:rsidP="001527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 w:rsidP="00152745">
            <w:pP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Il sistema di reporting è stato organizzato per essere in grado di gestire anche le segnalazioni relative alla safety, sia obbligatorie che volontarie/confidenziali, stabilendo anche una procedura con cui queste vengano adeguatamente analizzate, individuando chi ne è responsabile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15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15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15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15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15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15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52745">
        <w:trPr>
          <w:cantSplit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 w:rsidP="00152745">
            <w:pPr>
              <w:ind w:righ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previsto un processo di feedback verso chi effettua una segnalazione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5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 w:rsidP="00152745">
            <w:pP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stabilito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che le persone competenti in materia di safety (e, dove presente, il Safety Review Board) si devono incontrare con regolarità e che le riunioni devono essere verbalizzate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RPr="00152745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Pr="00152745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5274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>SAFETY RISK ASSESSMENT E MITIGATION (21.A.139(c)(3) / SM-0001 #6.2.2)</w:t>
            </w: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Pr="00152745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implementato un processo di valu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tazione dei rischi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52745">
        <w:trPr>
          <w:cantSplit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previsto n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el processo di valutazione dei rischi che le persone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coinvolte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siano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in possesso della necessaria competenza ed esperienza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5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7"/>
              </w:tabs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Ai fini della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mitigazione del rischio associato ai processi aziendali sono state identificate 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tecniche di riferimento (riferimento ISO 31010):</w:t>
            </w:r>
          </w:p>
          <w:p w:rsidR="001F5932" w:rsidRPr="00152745" w:rsidRDefault="004E7C4A" w:rsidP="0015274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5274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Checklist</w:t>
            </w:r>
          </w:p>
          <w:p w:rsidR="001F5932" w:rsidRPr="00152745" w:rsidRDefault="004E7C4A" w:rsidP="0015274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15274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Brainstorming</w:t>
            </w:r>
          </w:p>
          <w:p w:rsidR="001F5932" w:rsidRPr="00152745" w:rsidRDefault="004E7C4A" w:rsidP="0015274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 w:rsidRPr="00152745">
              <w:rPr>
                <w:rFonts w:ascii="Calibri" w:eastAsia="Calibri" w:hAnsi="Calibri" w:cs="Calibri"/>
                <w:sz w:val="18"/>
                <w:szCs w:val="18"/>
              </w:rPr>
              <w:t xml:space="preserve">Root Cause Analysis </w:t>
            </w:r>
          </w:p>
          <w:p w:rsidR="001F5932" w:rsidRPr="00152745" w:rsidRDefault="004E7C4A" w:rsidP="0015274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 w:rsidRPr="00152745">
              <w:rPr>
                <w:rFonts w:ascii="Calibri" w:eastAsia="Calibri" w:hAnsi="Calibri" w:cs="Calibri"/>
                <w:sz w:val="18"/>
                <w:szCs w:val="18"/>
              </w:rPr>
              <w:t>FMEA</w:t>
            </w:r>
          </w:p>
          <w:p w:rsidR="001F5932" w:rsidRPr="00152745" w:rsidRDefault="004E7C4A" w:rsidP="0015274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 w:rsidRPr="00152745">
              <w:rPr>
                <w:rFonts w:ascii="Calibri" w:eastAsia="Calibri" w:hAnsi="Calibri" w:cs="Calibri"/>
                <w:sz w:val="18"/>
                <w:szCs w:val="18"/>
              </w:rPr>
              <w:t>Fault Tree Analysis (FTA)</w:t>
            </w:r>
          </w:p>
          <w:p w:rsidR="001F5932" w:rsidRPr="00152745" w:rsidRDefault="004E7C4A" w:rsidP="0015274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 w:rsidRPr="00152745">
              <w:rPr>
                <w:rFonts w:ascii="Calibri" w:eastAsia="Calibri" w:hAnsi="Calibri" w:cs="Calibri"/>
                <w:sz w:val="18"/>
                <w:szCs w:val="18"/>
              </w:rPr>
              <w:t>Bow</w:t>
            </w:r>
            <w:r w:rsidR="00B4489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152745">
              <w:rPr>
                <w:rFonts w:ascii="Calibri" w:eastAsia="Calibri" w:hAnsi="Calibri" w:cs="Calibri"/>
                <w:sz w:val="18"/>
                <w:szCs w:val="18"/>
              </w:rPr>
              <w:t>Tie Analysis (diagramma a Papillon che visualizza la chiara differenziazione tra gestione del rischio preventiva e reattiva)</w:t>
            </w:r>
          </w:p>
          <w:p w:rsidR="001F5932" w:rsidRPr="00152745" w:rsidRDefault="004E7C4A" w:rsidP="0015274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 w:rsidRPr="00152745">
              <w:rPr>
                <w:rFonts w:ascii="Calibri" w:eastAsia="Calibri" w:hAnsi="Calibri" w:cs="Calibri"/>
                <w:sz w:val="18"/>
                <w:szCs w:val="18"/>
              </w:rPr>
              <w:t>Simulazione di Montecarlo</w:t>
            </w:r>
          </w:p>
          <w:p w:rsidR="001F5932" w:rsidRPr="00152745" w:rsidRDefault="004E7C4A" w:rsidP="00152745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</w:pPr>
            <w:r w:rsidRPr="00152745">
              <w:rPr>
                <w:rFonts w:ascii="Calibri" w:eastAsia="Calibri" w:hAnsi="Calibri" w:cs="Calibri"/>
                <w:sz w:val="18"/>
                <w:szCs w:val="18"/>
              </w:rPr>
              <w:t>Analisi c</w:t>
            </w:r>
            <w:r w:rsidRPr="00152745"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ause effetto</w:t>
            </w:r>
          </w:p>
          <w:p w:rsidR="001F5932" w:rsidRDefault="009A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accettabile o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gni altro metodo citato come means of compliance nel documento SM-0001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stato previsto che le mitigazioni dei rischi e i controlli siano sottoposti a verifica / audit per confermarne l'efficacia?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stata predisposta una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procedura o una metodologia per definire l’accettabilità del rischio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stato previsto che i rischi e i pericoli dovranno essere registrati su un </w:t>
            </w:r>
            <w:r w:rsidR="004E7C4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hazard log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o analogo strumento che deve essere rivisto periodicamente?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RPr="00152745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Pr="00152745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5274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>MANAGEMENT OF CHANGE (21.A.139(c)(4)(ii), 21.A.147 / SM-0001 #6.2.3)</w:t>
            </w:r>
          </w:p>
        </w:tc>
      </w:tr>
      <w:tr w:rsidR="001F5932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Pr="00152745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>
            <w:pPr>
              <w:ind w:righ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stato implementato un processo per identificare in modo proattivo i pericoli e per mitigare i rischi in caso di modifiche significative nell'organizzazione?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Esempi significativi sono: cambio di proprietà, spostamenti produttivi, aperture di nuovi stabilimenti, cambiamenti nello scopo dell’organizzazione, cambiamenti nelle logiche di make or buy, cambiamenti che influenzano la funzione aeronavigabilità e/o conformità, cambiamenti nella funzione qualità e/o nel compliance monitoring, cambiamenti dei fornitori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stato implementato un processo 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per identificare in modo proattivo i pericoli e per mitigare i rischi in caso di modifiche significative nelle Responsabilità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Esempi significativi sono i cambiamenti:</w:t>
            </w:r>
          </w:p>
          <w:p w:rsidR="001F5932" w:rsidRPr="00152745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152745">
              <w:rPr>
                <w:rFonts w:ascii="Calibri" w:eastAsia="Calibri" w:hAnsi="Calibri" w:cs="Calibri"/>
                <w:sz w:val="18"/>
                <w:szCs w:val="18"/>
                <w:lang w:val="en-GB"/>
              </w:rPr>
              <w:t>-</w:t>
            </w:r>
            <w:r w:rsidRPr="0015274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 </w:t>
            </w:r>
            <w:r w:rsidRPr="00152745">
              <w:rPr>
                <w:rFonts w:ascii="Calibri" w:eastAsia="Calibri" w:hAnsi="Calibri" w:cs="Calibri"/>
                <w:sz w:val="18"/>
                <w:szCs w:val="18"/>
                <w:lang w:val="en-GB"/>
              </w:rPr>
              <w:t>dell’Accountable manager,</w:t>
            </w:r>
          </w:p>
          <w:p w:rsidR="001F5932" w:rsidRPr="00152745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52745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- </w:t>
            </w:r>
            <w:r w:rsidRPr="00152745"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  <w:t xml:space="preserve">del Safety manager, 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 figure responsabili dell’aeronavigabilità e/o della conformità di prodotto.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stato implementato 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 processo per identificare in modo proattivo i pericoli e per mitigare i rischi in caso di cambiamenti / modifiche significative nelle procedure.</w:t>
            </w:r>
          </w:p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Esempi significativi sono cambiamenti nella classificazione delle modifiche e delle riparazioni minor versus major, navigabilità continua, configurazione del prodotto, quality management system, accettazione da parte dei fornitori e partner, processi di costruzione, sistemi di pianificazione e programmazione della produzione, modifiche nei privilegi approvati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9A5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stato implementato un processo per identificare in modo proattivo i pericoli e per mitigare i rischi in caso di cambiamenti / modifiche significative delle risorse. </w:t>
            </w:r>
          </w:p>
          <w:p w:rsidR="001F5932" w:rsidRDefault="004E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Per cambiamenti significativi si intendono, ad esempio una riduzione:</w:t>
            </w:r>
          </w:p>
          <w:p w:rsidR="001F5932" w:rsidRDefault="004E7C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 nel numero</w:t>
            </w:r>
          </w:p>
          <w:p w:rsidR="001F5932" w:rsidRDefault="004E7C4A" w:rsidP="003D1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nella qualificazione e/o nell’esperienza del personale. Sono da considerarsi significativi anche </w:t>
            </w:r>
            <w:r w:rsidR="003D1C83">
              <w:rPr>
                <w:rFonts w:ascii="Calibri" w:eastAsia="Calibri" w:hAnsi="Calibri" w:cs="Calibri"/>
                <w:sz w:val="18"/>
                <w:szCs w:val="18"/>
              </w:rPr>
              <w:t>incrementi del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personale</w:t>
            </w:r>
            <w:r w:rsidR="003D1C83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32" w:rsidRDefault="009A5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stato implementato un processo per identificare in modo proattivo i pericoli e per mitigare i relativi rischi nel caso di introduzione in un prodotto di modifiche significative nelle sue caratteristiche e nei suoi limiti di progettazione e certificazione?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5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 w:rsidP="0015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stato previsto che i processi di gestione delle modifiche siano supportati da metodi codificati negli standard di riferimento quali, ad esempio: </w:t>
            </w:r>
          </w:p>
          <w:p w:rsidR="001F5932" w:rsidRDefault="004E7C4A" w:rsidP="001527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8D Report (disciplina di problem solving); </w:t>
            </w:r>
          </w:p>
          <w:p w:rsidR="001F5932" w:rsidRDefault="004E7C4A" w:rsidP="001527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PPS Practical Problem Solving; </w:t>
            </w:r>
          </w:p>
          <w:p w:rsidR="001F5932" w:rsidRDefault="004E7C4A" w:rsidP="001527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5M (Mezzi, Metodi, Macchinari, Manpower, Materiali); </w:t>
            </w:r>
          </w:p>
          <w:p w:rsidR="001F5932" w:rsidRDefault="004E7C4A" w:rsidP="0015274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PFMEA (Process</w:t>
            </w:r>
            <w:r w:rsidR="00E0156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Failure &amp; Effects Analysis)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RPr="00152745" w:rsidTr="001F5932">
        <w:trPr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Pr="00152745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5274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>SAFETY PERFORMANCE MONITORING (21.A.139(c)(4)(i) / SM-0001 #6.3.1)</w:t>
            </w:r>
          </w:p>
        </w:tc>
      </w:tr>
      <w:tr w:rsidR="001F5932" w:rsidTr="0015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Pr="00152745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18"/>
                <w:szCs w:val="18"/>
              </w:rPr>
              <w:t>Sono stati definiti g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li indicatori di prestazione di safety ed inoltre è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stata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implementat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una procedura per il loro riesame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periodico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 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’identificazione di 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ventuali tendenze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52745">
        <w:trPr>
          <w:cantSplit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stata prevista l’esecuzione di audit e ispezioni al fine di verificare l’efficacia dei </w:t>
            </w:r>
            <w:r w:rsidR="004E7C4A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safety controls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e delle 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mitigazioni?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RPr="00152745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Pr="00152745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  <w:r w:rsidRPr="0015274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 xml:space="preserve">DATA </w:t>
            </w:r>
            <w:r w:rsidRPr="00152745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INTELLIGENT</w:t>
            </w:r>
            <w:r w:rsidRPr="0015274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 xml:space="preserve"> (Collection, </w:t>
            </w:r>
            <w:r w:rsidRPr="00152745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analysis</w:t>
            </w:r>
            <w:r w:rsidRPr="0015274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 xml:space="preserve"> sharing of safety data + information supported by (EU) 376/2014 MONITORAGGIO EFFICACIA RISK MANAGEMENT (21.A.3A, 21.A.139(c)(4), 21.A.143, 21.A.147 / SM-0001 #6.3.1)</w:t>
            </w:r>
          </w:p>
        </w:tc>
      </w:tr>
      <w:tr w:rsidR="001F5932" w:rsidTr="00152745">
        <w:trPr>
          <w:cantSplit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Pr="00152745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 w:rsidP="00E01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stato previsto di svolgere </w:t>
            </w:r>
            <w:r w:rsidR="00E01565">
              <w:rPr>
                <w:rFonts w:ascii="Calibri" w:eastAsia="Calibri" w:hAnsi="Calibri" w:cs="Calibri"/>
                <w:sz w:val="18"/>
                <w:szCs w:val="18"/>
              </w:rPr>
              <w:t xml:space="preserve">delle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indagini dopo incidenti o inconvenienti per stabilire le cause alla radice?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5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 w:rsidP="00152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stato previsto che i rischi individuati dalle indagini relative alla safety siano appropriatamente indirizzati e comunicati al resto dell'organizzazione e alle pertinenti organizzazioni terze con le quali l’organizzazione si interfaccia?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52745">
        <w:trPr>
          <w:cantSplit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 w:rsidP="00152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stato definito un processo per garantire il miglioramento continuo delle prestazioni in termini di Safety?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INTEGRAZIONE CERTIFICAZIONI DELL’ORGANIZZAZIONE (21.A.139(f), 21.A.143, 21.A.147 / SM-0001 #6.3.1)</w:t>
            </w:r>
          </w:p>
        </w:tc>
      </w:tr>
      <w:tr w:rsidR="001F5932" w:rsidTr="00152745">
        <w:trPr>
          <w:cantSplit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 w:rsidP="0015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stato valutato che le funzioni del Production Management System possano essere integrate con altre funzioni previste dalle certificazioni in possesso dell’organizzazione?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FORMAZIONE E ISTRUZIONE (21</w:t>
            </w:r>
            <w:r w:rsidR="00B44898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A.139(c)(5)(i) / SM-0001 #6.4.1)</w:t>
            </w:r>
          </w:p>
        </w:tc>
      </w:tr>
      <w:tr w:rsidR="001F5932" w:rsidTr="00152745">
        <w:trPr>
          <w:cantSplit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 w:rsidP="0015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stato previsto che il 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personale sia opportunamente addestrato rispetto al SMS e ai relativi ruoli e responsabilità inerenti la sicurezza.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stato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previsto un piano di formazione che vada costantemente e periodicamente aggiornato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527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 w:rsidP="0015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stato previsto come valutare l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’efficacia della formazione?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stata predisposta 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una metodologia che consenta di verificare la sua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efficacia?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152745">
        <w:trPr>
          <w:cantSplit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 w:rsidP="00152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È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 xml:space="preserve"> stata prevista la valutazione della 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competenza di chi eroga la formazione prima che questa venga erogata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RPr="00152745" w:rsidTr="001F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F5932" w:rsidRPr="00152745" w:rsidRDefault="004E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  <w:r w:rsidRPr="0015274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>POSITIVE SAFETY CULTURE (21.A.139 (c) / SM-0001 #6.4.2)</w:t>
            </w:r>
          </w:p>
        </w:tc>
      </w:tr>
      <w:tr w:rsidR="001F5932" w:rsidTr="00152745">
        <w:trPr>
          <w:cantSplit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Pr="00152745" w:rsidRDefault="001F59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stata definita la modalità di disseminazione delle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informazioni inerenti la safety a tutto il personale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affinché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avvenga in maniera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adeguata?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1F5932" w:rsidTr="00B4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B4489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9A53D2" w:rsidP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sz w:val="18"/>
                <w:szCs w:val="18"/>
              </w:rPr>
              <w:t xml:space="preserve">È </w:t>
            </w:r>
            <w:r w:rsidR="004E7C4A">
              <w:rPr>
                <w:rFonts w:ascii="Calibri" w:eastAsia="Calibri" w:hAnsi="Calibri" w:cs="Calibri"/>
                <w:sz w:val="18"/>
                <w:szCs w:val="18"/>
              </w:rPr>
              <w:t>stata definita la modalità di disseminazione delle informazioni inerenti la safety</w:t>
            </w:r>
            <w:r w:rsidR="004E7C4A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anche gli utenti esterni / clienti / fornitori etc.?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32" w:rsidRDefault="001F5932" w:rsidP="00B4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1F5932" w:rsidRDefault="001F5932"/>
    <w:p w:rsidR="001F5932" w:rsidRDefault="004E7C4A" w:rsidP="009A53D2">
      <w:r>
        <w:rPr>
          <w:noProof/>
          <w:color w:val="000000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298462</wp:posOffset>
            </wp:positionH>
            <wp:positionV relativeFrom="page">
              <wp:posOffset>295908</wp:posOffset>
            </wp:positionV>
            <wp:extent cx="361302" cy="482487"/>
            <wp:effectExtent l="0" t="0" r="0" b="0"/>
            <wp:wrapNone/>
            <wp:docPr id="33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02" cy="482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page">
              <wp:posOffset>298462</wp:posOffset>
            </wp:positionH>
            <wp:positionV relativeFrom="page">
              <wp:posOffset>295908</wp:posOffset>
            </wp:positionV>
            <wp:extent cx="361302" cy="482487"/>
            <wp:effectExtent l="0" t="0" r="0" b="0"/>
            <wp:wrapNone/>
            <wp:docPr id="34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02" cy="482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F5932">
      <w:pgSz w:w="16838" w:h="11906" w:orient="landscape"/>
      <w:pgMar w:top="141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3C" w:rsidRDefault="0013633C">
      <w:r>
        <w:separator/>
      </w:r>
    </w:p>
  </w:endnote>
  <w:endnote w:type="continuationSeparator" w:id="0">
    <w:p w:rsidR="0013633C" w:rsidRDefault="0013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32" w:rsidRPr="006F4C7D" w:rsidRDefault="004E7C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color w:val="000000"/>
        <w:sz w:val="18"/>
        <w:szCs w:val="18"/>
      </w:rPr>
    </w:pPr>
    <w:r w:rsidRPr="006F4C7D">
      <w:rPr>
        <w:rFonts w:asciiTheme="minorHAnsi" w:hAnsiTheme="minorHAnsi" w:cstheme="minorHAnsi"/>
        <w:sz w:val="18"/>
        <w:szCs w:val="18"/>
      </w:rPr>
      <w:t>Pag.</w:t>
    </w:r>
    <w:r w:rsidRPr="006F4C7D">
      <w:rPr>
        <w:rFonts w:asciiTheme="minorHAnsi" w:hAnsiTheme="minorHAnsi" w:cstheme="minorHAnsi"/>
        <w:color w:val="000000"/>
        <w:sz w:val="18"/>
        <w:szCs w:val="18"/>
      </w:rPr>
      <w:fldChar w:fldCharType="begin"/>
    </w:r>
    <w:r w:rsidRPr="006F4C7D">
      <w:rPr>
        <w:rFonts w:asciiTheme="minorHAnsi" w:hAnsiTheme="minorHAnsi" w:cstheme="minorHAnsi"/>
        <w:color w:val="000000"/>
        <w:sz w:val="18"/>
        <w:szCs w:val="18"/>
      </w:rPr>
      <w:instrText>PAGE</w:instrText>
    </w:r>
    <w:r w:rsidRPr="006F4C7D">
      <w:rPr>
        <w:rFonts w:asciiTheme="minorHAnsi" w:hAnsiTheme="minorHAnsi" w:cstheme="minorHAnsi"/>
        <w:color w:val="000000"/>
        <w:sz w:val="18"/>
        <w:szCs w:val="18"/>
      </w:rPr>
      <w:fldChar w:fldCharType="separate"/>
    </w:r>
    <w:r w:rsidR="00BF34E7">
      <w:rPr>
        <w:rFonts w:asciiTheme="minorHAnsi" w:hAnsiTheme="minorHAnsi" w:cstheme="minorHAnsi"/>
        <w:noProof/>
        <w:color w:val="000000"/>
        <w:sz w:val="18"/>
        <w:szCs w:val="18"/>
      </w:rPr>
      <w:t>3</w:t>
    </w:r>
    <w:r w:rsidRPr="006F4C7D">
      <w:rPr>
        <w:rFonts w:asciiTheme="minorHAnsi" w:hAnsiTheme="minorHAnsi" w:cstheme="minorHAnsi"/>
        <w:color w:val="000000"/>
        <w:sz w:val="18"/>
        <w:szCs w:val="18"/>
      </w:rPr>
      <w:fldChar w:fldCharType="end"/>
    </w:r>
    <w:r w:rsidRPr="006F4C7D">
      <w:rPr>
        <w:rFonts w:asciiTheme="minorHAnsi" w:hAnsiTheme="minorHAnsi" w:cstheme="minorHAnsi"/>
        <w:color w:val="000000"/>
      </w:rPr>
      <w:t xml:space="preserve"> </w:t>
    </w:r>
    <w:r w:rsidRPr="006F4C7D">
      <w:rPr>
        <w:rFonts w:asciiTheme="minorHAnsi" w:hAnsiTheme="minorHAnsi" w:cstheme="minorHAnsi"/>
        <w:color w:val="000000"/>
      </w:rPr>
      <w:tab/>
    </w:r>
    <w:r w:rsidRPr="006F4C7D">
      <w:rPr>
        <w:rFonts w:asciiTheme="minorHAnsi" w:hAnsiTheme="minorHAnsi" w:cstheme="minorHAnsi"/>
        <w:color w:val="000000"/>
      </w:rPr>
      <w:tab/>
    </w:r>
    <w:r w:rsidRPr="006F4C7D">
      <w:rPr>
        <w:rFonts w:asciiTheme="minorHAnsi" w:hAnsiTheme="minorHAnsi" w:cstheme="minorHAnsi"/>
        <w:color w:val="000000"/>
      </w:rPr>
      <w:tab/>
      <w:t xml:space="preserve">                                       </w:t>
    </w:r>
    <w:r w:rsidRPr="006F4C7D">
      <w:rPr>
        <w:rFonts w:asciiTheme="minorHAnsi" w:hAnsiTheme="minorHAnsi" w:cstheme="minorHAnsi"/>
        <w:color w:val="000000"/>
        <w:sz w:val="18"/>
        <w:szCs w:val="18"/>
      </w:rPr>
      <w:t xml:space="preserve"> Edizione Settembre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32" w:rsidRDefault="004E7C4A">
    <w:pPr>
      <w:rPr>
        <w:sz w:val="18"/>
        <w:szCs w:val="18"/>
      </w:rPr>
    </w:pPr>
    <w:r>
      <w:t xml:space="preserve">                                                                                                                  </w:t>
    </w:r>
    <w:r>
      <w:rPr>
        <w:sz w:val="18"/>
        <w:szCs w:val="18"/>
      </w:rPr>
      <w:t>Edizione Settembre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3C" w:rsidRDefault="0013633C">
      <w:r>
        <w:separator/>
      </w:r>
    </w:p>
  </w:footnote>
  <w:footnote w:type="continuationSeparator" w:id="0">
    <w:p w:rsidR="0013633C" w:rsidRDefault="0013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32" w:rsidRPr="006F4C7D" w:rsidRDefault="004E7C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color w:val="000000"/>
      </w:rPr>
    </w:pPr>
    <w:r>
      <w:tab/>
    </w:r>
    <w:r w:rsidRPr="006F4C7D">
      <w:rPr>
        <w:rFonts w:asciiTheme="minorHAnsi" w:hAnsiTheme="minorHAnsi" w:cstheme="minorHAnsi"/>
      </w:rPr>
      <w:t xml:space="preserve">                                                                                          SMS GAP ANALYSIS</w:t>
    </w:r>
    <w:r w:rsidRPr="006F4C7D">
      <w:rPr>
        <w:rFonts w:asciiTheme="minorHAnsi" w:hAnsiTheme="minorHAnsi" w:cstheme="minorHAnsi"/>
        <w:noProof/>
        <w:color w:val="000000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299156</wp:posOffset>
          </wp:positionH>
          <wp:positionV relativeFrom="page">
            <wp:posOffset>293511</wp:posOffset>
          </wp:positionV>
          <wp:extent cx="361302" cy="482487"/>
          <wp:effectExtent l="0" t="0" r="0" b="0"/>
          <wp:wrapNone/>
          <wp:docPr id="3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302" cy="4824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32" w:rsidRDefault="004E7C4A"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page">
            <wp:posOffset>480060</wp:posOffset>
          </wp:positionH>
          <wp:positionV relativeFrom="page">
            <wp:posOffset>300143</wp:posOffset>
          </wp:positionV>
          <wp:extent cx="361302" cy="482487"/>
          <wp:effectExtent l="0" t="0" r="0" b="0"/>
          <wp:wrapNone/>
          <wp:docPr id="34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302" cy="4824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A9F"/>
    <w:multiLevelType w:val="multilevel"/>
    <w:tmpl w:val="35CA15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C53ABD"/>
    <w:multiLevelType w:val="multilevel"/>
    <w:tmpl w:val="6DACC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2F6532"/>
    <w:multiLevelType w:val="multilevel"/>
    <w:tmpl w:val="14E28F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0B790C"/>
    <w:multiLevelType w:val="hybridMultilevel"/>
    <w:tmpl w:val="3F96A8D2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5932"/>
    <w:rsid w:val="00084FD3"/>
    <w:rsid w:val="000E42AA"/>
    <w:rsid w:val="0013633C"/>
    <w:rsid w:val="00136BDB"/>
    <w:rsid w:val="00152745"/>
    <w:rsid w:val="001F5932"/>
    <w:rsid w:val="00253C4E"/>
    <w:rsid w:val="00271BE8"/>
    <w:rsid w:val="003D1C83"/>
    <w:rsid w:val="003E1E07"/>
    <w:rsid w:val="004E7C4A"/>
    <w:rsid w:val="00595FA7"/>
    <w:rsid w:val="005C1341"/>
    <w:rsid w:val="00686F25"/>
    <w:rsid w:val="006C4486"/>
    <w:rsid w:val="006F4C7D"/>
    <w:rsid w:val="00741DA0"/>
    <w:rsid w:val="007564E9"/>
    <w:rsid w:val="007F7B2D"/>
    <w:rsid w:val="008F53B9"/>
    <w:rsid w:val="009A53D2"/>
    <w:rsid w:val="00A8110F"/>
    <w:rsid w:val="00A85827"/>
    <w:rsid w:val="00B227ED"/>
    <w:rsid w:val="00B44898"/>
    <w:rsid w:val="00BE50F1"/>
    <w:rsid w:val="00BF0FF8"/>
    <w:rsid w:val="00BF34E7"/>
    <w:rsid w:val="00DC2CA2"/>
    <w:rsid w:val="00DD17B6"/>
    <w:rsid w:val="00DF11C4"/>
    <w:rsid w:val="00E01565"/>
    <w:rsid w:val="00E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63AA"/>
  <w15:docId w15:val="{C67E3450-A846-423A-9972-69A8D271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21DF"/>
  </w:style>
  <w:style w:type="paragraph" w:styleId="Titolo1">
    <w:name w:val="heading 1"/>
    <w:basedOn w:val="Normale"/>
    <w:link w:val="Titolo1Carattere"/>
    <w:uiPriority w:val="1"/>
    <w:qFormat/>
    <w:rsid w:val="007B21DF"/>
    <w:pPr>
      <w:ind w:left="1379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3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B21DF"/>
    <w:rPr>
      <w:rFonts w:ascii="Arial" w:eastAsia="Arial" w:hAnsi="Arial" w:cs="Arial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614B02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3A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1D3A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3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33D"/>
    <w:rPr>
      <w:rFonts w:ascii="Segoe UI" w:eastAsia="Arial MT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3B61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245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5CB"/>
    <w:rPr>
      <w:rFonts w:ascii="Arial MT" w:eastAsia="Arial MT" w:hAnsi="Arial MT" w:cs="Arial MT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4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5CB"/>
    <w:rPr>
      <w:rFonts w:ascii="Arial MT" w:eastAsia="Arial MT" w:hAnsi="Arial MT" w:cs="Arial MT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Elencochiaro-Colore5">
    <w:name w:val="Light List Accent 5"/>
    <w:basedOn w:val="Tabellanormale"/>
    <w:uiPriority w:val="61"/>
    <w:rsid w:val="006B16A1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a8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V0BYBb/2TqFv1JN9EWl3DEkvw==">CgMxLjAyCWguMzBqMHpsbDgAciExUDdJbDZ5czVFbkx5ZjZtLTNrX0dlYXpETUppaXRUSGQ=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Odierno</dc:creator>
  <cp:lastModifiedBy>pietro barbagallo</cp:lastModifiedBy>
  <cp:revision>7</cp:revision>
  <dcterms:created xsi:type="dcterms:W3CDTF">2023-08-09T08:15:00Z</dcterms:created>
  <dcterms:modified xsi:type="dcterms:W3CDTF">2023-09-06T09:08:00Z</dcterms:modified>
</cp:coreProperties>
</file>